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华文中宋" w:hAnsi="华文中宋" w:eastAsia="华文中宋" w:cs="楷体_GB2312"/>
          <w:color w:val="FF0000"/>
          <w:spacing w:val="-20"/>
          <w:sz w:val="44"/>
          <w:szCs w:val="44"/>
        </w:rPr>
        <w:pict>
          <v:shape id="艺术字 18" o:spid="_x0000_s1026" o:spt="136" type="#_x0000_t136" style="position:absolute;left:0pt;margin-left:1.8pt;margin-top:13.4pt;height:83.3pt;width:443.65pt;z-index:251667456;mso-width-relative:page;mso-height-relative:page;" fillcolor="#FF0000" filled="t" stroked="f" coordsize="21600,21600" adj="10800">
            <v:path/>
            <v:fill on="t" color2="#FFFFFF" focussize="0,0"/>
            <v:stroke on="f"/>
            <v:imagedata o:title=""/>
            <o:lock v:ext="edit" aspectratio="f"/>
            <v:textpath on="t" fitshape="t" fitpath="t" trim="t" xscale="f" string="滕州市人民政府办公室文件" style="font-family:华文中宋;font-size:36pt;font-weight:bold;v-text-align:center;"/>
          </v:shape>
        </w:pic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leftChars="0"/>
        <w:jc w:val="center"/>
        <w:textAlignment w:val="auto"/>
        <w:rPr>
          <w:sz w:val="32"/>
          <w:szCs w:val="32"/>
        </w:rPr>
      </w:pPr>
      <w:r>
        <w:rPr>
          <w:rFonts w:hint="eastAsia" w:ascii="仿宋_GB2312" w:hAnsi="宋体" w:eastAsia="仿宋_GB2312" w:cs="仿宋_GB2312"/>
          <w:color w:val="000000"/>
          <w:kern w:val="0"/>
          <w:sz w:val="32"/>
          <w:szCs w:val="32"/>
          <w:lang w:val="en-US" w:eastAsia="zh-CN" w:bidi="ar"/>
        </w:rPr>
        <w:t>滕</w:t>
      </w:r>
      <w:r>
        <w:rPr>
          <w:rFonts w:ascii="仿宋_GB2312" w:hAnsi="宋体" w:eastAsia="仿宋_GB2312" w:cs="仿宋_GB2312"/>
          <w:color w:val="000000"/>
          <w:kern w:val="0"/>
          <w:sz w:val="32"/>
          <w:szCs w:val="32"/>
          <w:lang w:val="en-US" w:eastAsia="zh-CN" w:bidi="ar"/>
        </w:rPr>
        <w:t>政</w:t>
      </w:r>
      <w:r>
        <w:rPr>
          <w:rFonts w:hint="eastAsia" w:ascii="仿宋_GB2312" w:hAnsi="宋体" w:eastAsia="仿宋_GB2312" w:cs="仿宋_GB2312"/>
          <w:color w:val="000000"/>
          <w:kern w:val="0"/>
          <w:sz w:val="32"/>
          <w:szCs w:val="32"/>
          <w:lang w:val="en-US" w:eastAsia="zh-CN" w:bidi="ar"/>
        </w:rPr>
        <w:t>办发</w:t>
      </w:r>
      <w:r>
        <w:rPr>
          <w:rFonts w:ascii="仿宋_GB2312" w:hAnsi="宋体" w:eastAsia="仿宋_GB2312" w:cs="仿宋_GB2312"/>
          <w:color w:val="000000"/>
          <w:kern w:val="0"/>
          <w:sz w:val="32"/>
          <w:szCs w:val="32"/>
          <w:lang w:val="en-US" w:eastAsia="zh-CN" w:bidi="ar"/>
        </w:rPr>
        <w:t>〔202</w:t>
      </w:r>
      <w:r>
        <w:rPr>
          <w:rFonts w:hint="eastAsia" w:ascii="仿宋_GB2312" w:hAnsi="宋体" w:eastAsia="仿宋_GB2312" w:cs="仿宋_GB2312"/>
          <w:color w:val="000000"/>
          <w:kern w:val="0"/>
          <w:sz w:val="32"/>
          <w:szCs w:val="32"/>
          <w:lang w:val="en-US" w:eastAsia="zh-CN" w:bidi="ar"/>
        </w:rPr>
        <w:t>3</w:t>
      </w:r>
      <w:r>
        <w:rPr>
          <w:rFonts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32</w:t>
      </w:r>
      <w:r>
        <w:rPr>
          <w:rFonts w:ascii="仿宋_GB2312" w:hAnsi="宋体" w:eastAsia="仿宋_GB2312" w:cs="仿宋_GB2312"/>
          <w:color w:val="000000"/>
          <w:kern w:val="0"/>
          <w:sz w:val="32"/>
          <w:szCs w:val="32"/>
          <w:lang w:val="en-US" w:eastAsia="zh-CN" w:bidi="ar"/>
        </w:rPr>
        <w:t>号</w:t>
      </w:r>
      <w:bookmarkStart w:id="0" w:name="_GoBack"/>
      <w:bookmarkEnd w:id="0"/>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华文中宋" w:hAnsi="华文中宋" w:eastAsia="华文中宋" w:cs="楷体_GB2312"/>
          <w:color w:val="FF0000"/>
          <w:spacing w:val="-20"/>
          <w:sz w:val="44"/>
          <w:szCs w:val="44"/>
        </w:rPr>
        <mc:AlternateContent>
          <mc:Choice Requires="wps">
            <w:drawing>
              <wp:anchor distT="0" distB="0" distL="114300" distR="114300" simplePos="0" relativeHeight="251669504" behindDoc="0" locked="0" layoutInCell="1" allowOverlap="1">
                <wp:simplePos x="0" y="0"/>
                <wp:positionH relativeFrom="column">
                  <wp:posOffset>245745</wp:posOffset>
                </wp:positionH>
                <wp:positionV relativeFrom="paragraph">
                  <wp:posOffset>158115</wp:posOffset>
                </wp:positionV>
                <wp:extent cx="5143500" cy="635"/>
                <wp:effectExtent l="0" t="0" r="0" b="0"/>
                <wp:wrapNone/>
                <wp:docPr id="9" name="直接连接符 9"/>
                <wp:cNvGraphicFramePr/>
                <a:graphic xmlns:a="http://schemas.openxmlformats.org/drawingml/2006/main">
                  <a:graphicData uri="http://schemas.microsoft.com/office/word/2010/wordprocessingShape">
                    <wps:wsp>
                      <wps:cNvCnPr/>
                      <wps:spPr>
                        <a:xfrm>
                          <a:off x="1229995" y="3791585"/>
                          <a:ext cx="5143500" cy="635"/>
                        </a:xfrm>
                        <a:prstGeom prst="line">
                          <a:avLst/>
                        </a:prstGeom>
                        <a:ln w="2857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9.35pt;margin-top:12.45pt;height:0.05pt;width:405pt;z-index:251669504;mso-width-relative:page;mso-height-relative:page;" filled="f" stroked="t" coordsize="21600,21600" o:gfxdata="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C7iCSNYAAAAIAQAADwAAAAAAAAABACAAAAA4&#10;AAAAZHJzL2Rvd25yZXYueG1sUEsBAhQAFAAAAAgAh07iQIBkCFX2AQAAtgMAAA4AAAAAAAAAAQAg&#10;AAAAOwEAAGRycy9lMm9Eb2MueG1sUEsFBgAAAAAGAAYAWQEAAKMFAAAAAA==&#10;">
                <v:path arrowok="t"/>
                <v:fill on="f" focussize="0,0"/>
                <v:stroke weight="2.25pt" color="#FF0000" joinstyle="round"/>
                <v:imagedata o:title=""/>
                <o:lock v:ext="edit" aspectratio="f"/>
              </v:line>
            </w:pict>
          </mc:Fallback>
        </mc:AlternateConten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leftChars="0"/>
        <w:jc w:val="center"/>
        <w:textAlignment w:val="auto"/>
        <w:rPr>
          <w:rFonts w:hint="default"/>
          <w:color w:val="auto"/>
          <w:sz w:val="44"/>
          <w:szCs w:val="44"/>
          <w:lang w:val="en-US"/>
        </w:rPr>
      </w:pPr>
      <w:r>
        <w:rPr>
          <w:rFonts w:hint="eastAsia" w:ascii="方正小标宋简体" w:hAnsi="方正小标宋简体" w:eastAsia="方正小标宋简体" w:cs="方正小标宋简体"/>
          <w:color w:val="auto"/>
          <w:kern w:val="0"/>
          <w:sz w:val="44"/>
          <w:szCs w:val="44"/>
          <w:lang w:val="en-US" w:eastAsia="zh-CN" w:bidi="ar"/>
        </w:rPr>
        <w:t>滕州</w:t>
      </w:r>
      <w:r>
        <w:rPr>
          <w:rFonts w:ascii="方正小标宋简体" w:hAnsi="方正小标宋简体" w:eastAsia="方正小标宋简体" w:cs="方正小标宋简体"/>
          <w:color w:val="auto"/>
          <w:kern w:val="0"/>
          <w:sz w:val="44"/>
          <w:szCs w:val="44"/>
          <w:lang w:val="en-US" w:eastAsia="zh-CN" w:bidi="ar"/>
        </w:rPr>
        <w:t>市人民政府</w:t>
      </w:r>
      <w:r>
        <w:rPr>
          <w:rFonts w:hint="eastAsia" w:ascii="方正小标宋简体" w:hAnsi="方正小标宋简体" w:eastAsia="方正小标宋简体" w:cs="方正小标宋简体"/>
          <w:color w:val="auto"/>
          <w:kern w:val="0"/>
          <w:sz w:val="44"/>
          <w:szCs w:val="44"/>
          <w:lang w:val="en-US" w:eastAsia="zh-CN" w:bidi="ar"/>
        </w:rPr>
        <w:t>办公室</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关于印发滕州市食品安全工作评议办法的</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通    知</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leftChars="0"/>
        <w:jc w:val="left"/>
        <w:textAlignment w:val="auto"/>
        <w:rPr>
          <w:rFonts w:ascii="仿宋_GB2312" w:hAnsi="宋体" w:eastAsia="仿宋_GB2312" w:cs="仿宋_GB2312"/>
          <w:color w:val="auto"/>
          <w:kern w:val="0"/>
          <w:sz w:val="31"/>
          <w:szCs w:val="31"/>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leftChars="0"/>
        <w:jc w:val="left"/>
        <w:textAlignment w:val="auto"/>
        <w:rPr>
          <w:color w:val="auto"/>
          <w:sz w:val="32"/>
          <w:szCs w:val="32"/>
        </w:rPr>
      </w:pPr>
      <w:r>
        <w:rPr>
          <w:rFonts w:hint="eastAsia" w:ascii="仿宋_GB2312" w:hAnsi="仿宋_GB2312" w:eastAsia="仿宋_GB2312" w:cs="仿宋_GB2312"/>
          <w:kern w:val="0"/>
          <w:sz w:val="32"/>
          <w:szCs w:val="32"/>
        </w:rPr>
        <w:t>各镇人民政府、街道办事处，滕州经济技术开发区管委会，市政府各部门单位</w:t>
      </w:r>
      <w:r>
        <w:rPr>
          <w:rFonts w:hint="eastAsia" w:ascii="仿宋_GB2312" w:hAnsi="仿宋_GB2312" w:eastAsia="仿宋_GB2312" w:cs="仿宋_GB2312"/>
          <w:kern w:val="0"/>
          <w:sz w:val="32"/>
          <w:szCs w:val="32"/>
          <w:lang w:eastAsia="zh-CN"/>
        </w:rPr>
        <w:t>，各企事业单位</w:t>
      </w:r>
      <w:r>
        <w:rPr>
          <w:rFonts w:hint="eastAsia" w:ascii="仿宋_GB2312" w:hAnsi="宋体" w:eastAsia="仿宋_GB2312" w:cs="仿宋_GB2312"/>
          <w:color w:val="auto"/>
          <w:kern w:val="0"/>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leftChars="0" w:firstLine="640" w:firstLineChars="200"/>
        <w:jc w:val="left"/>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《滕州市食品安全工作评议办法》已经市政府同意，现印发给你们，请认真贯彻执行。</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leftChars="0" w:firstLine="5120" w:firstLineChars="1600"/>
        <w:jc w:val="left"/>
        <w:textAlignment w:val="auto"/>
        <w:rPr>
          <w:rFonts w:hint="eastAsia" w:ascii="仿宋_GB2312" w:hAnsi="宋体" w:eastAsia="仿宋_GB2312" w:cs="仿宋_GB2312"/>
          <w:color w:val="auto"/>
          <w:kern w:val="0"/>
          <w:sz w:val="32"/>
          <w:szCs w:val="32"/>
          <w:lang w:val="en-US" w:eastAsia="zh-CN" w:bidi="ar"/>
        </w:rPr>
      </w:pPr>
    </w:p>
    <w:p>
      <w:pPr>
        <w:pStyle w:val="2"/>
        <w:keepNext w:val="0"/>
        <w:keepLines w:val="0"/>
        <w:pageBreakBefore w:val="0"/>
        <w:widowControl w:val="0"/>
        <w:kinsoku/>
        <w:wordWrap/>
        <w:overflowPunct w:val="0"/>
        <w:topLinePunct w:val="0"/>
        <w:autoSpaceDE/>
        <w:autoSpaceDN/>
        <w:bidi w:val="0"/>
        <w:adjustRightInd/>
        <w:snapToGrid/>
        <w:ind w:left="0" w:leftChars="0"/>
        <w:textAlignment w:val="auto"/>
        <w:rPr>
          <w:rFonts w:hint="eastAsia"/>
          <w:lang w:val="en-US" w:eastAsia="zh-CN"/>
        </w:rPr>
      </w:pP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leftChars="0" w:firstLine="5120" w:firstLineChars="1600"/>
        <w:jc w:val="left"/>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滕州市人民政府办公室</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leftChars="0" w:firstLine="5440" w:firstLineChars="1700"/>
        <w:jc w:val="left"/>
        <w:textAlignment w:val="auto"/>
        <w:rPr>
          <w:color w:val="auto"/>
          <w:sz w:val="32"/>
          <w:szCs w:val="32"/>
        </w:rPr>
      </w:pPr>
      <w:r>
        <w:rPr>
          <w:rFonts w:hint="eastAsia" w:ascii="仿宋_GB2312" w:hAnsi="宋体" w:eastAsia="仿宋_GB2312" w:cs="仿宋_GB2312"/>
          <w:color w:val="auto"/>
          <w:kern w:val="0"/>
          <w:sz w:val="32"/>
          <w:szCs w:val="32"/>
          <w:lang w:val="en-US" w:eastAsia="zh-CN" w:bidi="ar"/>
        </w:rPr>
        <w:t xml:space="preserve">2023年10月14日 </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leftChars="0" w:firstLine="640" w:firstLineChars="200"/>
        <w:jc w:val="left"/>
        <w:textAlignment w:val="auto"/>
        <w:rPr>
          <w:color w:val="auto"/>
          <w:sz w:val="32"/>
          <w:szCs w:val="32"/>
        </w:rPr>
      </w:pPr>
      <w:r>
        <w:rPr>
          <w:rFonts w:hint="eastAsia" w:ascii="仿宋_GB2312" w:hAnsi="宋体" w:eastAsia="仿宋_GB2312" w:cs="仿宋_GB2312"/>
          <w:color w:val="auto"/>
          <w:kern w:val="0"/>
          <w:sz w:val="32"/>
          <w:szCs w:val="32"/>
          <w:lang w:val="en-US" w:eastAsia="zh-CN" w:bidi="ar"/>
        </w:rPr>
        <w:t>（此件公开发布）</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方正小标宋简体" w:hAnsi="方正小标宋简体" w:eastAsia="方正小标宋简体" w:cs="方正小标宋简体"/>
          <w:color w:val="000000"/>
          <w:sz w:val="43"/>
          <w:szCs w:val="43"/>
          <w:shd w:val="clear" w:color="auto" w:fill="FFFFFF"/>
          <w:lang w:val="en-US"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600" w:lineRule="exact"/>
        <w:ind w:left="0" w:leftChars="0" w:right="0"/>
        <w:jc w:val="center"/>
        <w:textAlignment w:val="auto"/>
        <w:rPr>
          <w:rFonts w:hint="default" w:ascii="方正小标宋简体" w:hAnsi="方正小标宋简体" w:eastAsia="方正小标宋简体" w:cs="方正小标宋简体"/>
          <w:color w:val="000000"/>
          <w:sz w:val="43"/>
          <w:szCs w:val="43"/>
          <w:shd w:val="clear" w:color="auto" w:fill="FFFFFF"/>
        </w:rPr>
      </w:pPr>
      <w:r>
        <w:rPr>
          <w:rFonts w:hint="eastAsia" w:ascii="方正小标宋简体" w:hAnsi="方正小标宋简体" w:eastAsia="方正小标宋简体" w:cs="方正小标宋简体"/>
          <w:color w:val="000000"/>
          <w:sz w:val="43"/>
          <w:szCs w:val="43"/>
          <w:shd w:val="clear" w:color="auto" w:fill="FFFFFF"/>
          <w:lang w:val="en-US" w:eastAsia="zh-CN"/>
        </w:rPr>
        <w:t>滕州</w:t>
      </w:r>
      <w:r>
        <w:rPr>
          <w:rFonts w:ascii="方正小标宋简体" w:hAnsi="方正小标宋简体" w:eastAsia="方正小标宋简体" w:cs="方正小标宋简体"/>
          <w:color w:val="000000"/>
          <w:sz w:val="43"/>
          <w:szCs w:val="43"/>
          <w:shd w:val="clear" w:color="auto" w:fill="FFFFFF"/>
        </w:rPr>
        <w:t>市</w:t>
      </w:r>
      <w:r>
        <w:rPr>
          <w:rFonts w:hint="eastAsia" w:ascii="方正小标宋简体" w:hAnsi="方正小标宋简体" w:eastAsia="方正小标宋简体" w:cs="方正小标宋简体"/>
          <w:color w:val="000000"/>
          <w:sz w:val="43"/>
          <w:szCs w:val="43"/>
          <w:shd w:val="clear" w:color="auto" w:fill="FFFFFF"/>
        </w:rPr>
        <w:t>食品安全工作评议办法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600" w:lineRule="exact"/>
        <w:ind w:left="0" w:leftChars="0" w:right="0" w:firstLine="615"/>
        <w:jc w:val="both"/>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shd w:val="clear" w:color="auto" w:fill="FFFFFF"/>
        </w:rPr>
        <w:t> </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lang w:val="en-US" w:eastAsia="zh-CN"/>
        </w:rPr>
        <w:t>第一条</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为贯彻上级关于加强食品安全工作的决策部署，落实食品安全“四个最严”要求，强化各</w:t>
      </w:r>
      <w:r>
        <w:rPr>
          <w:rFonts w:hint="eastAsia" w:ascii="仿宋_GB2312" w:hAnsi="仿宋_GB2312" w:eastAsia="仿宋_GB2312" w:cs="仿宋_GB2312"/>
          <w:color w:val="000000"/>
          <w:sz w:val="32"/>
          <w:szCs w:val="32"/>
          <w:shd w:val="clear" w:color="auto" w:fill="FFFFFF"/>
          <w:lang w:val="en-US" w:eastAsia="zh-CN"/>
        </w:rPr>
        <w:t>镇</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街</w:t>
      </w:r>
      <w:r>
        <w:rPr>
          <w:rFonts w:hint="eastAsia" w:ascii="仿宋_GB2312" w:hAnsi="仿宋_GB2312" w:eastAsia="仿宋_GB2312" w:cs="仿宋_GB2312"/>
          <w:color w:val="000000"/>
          <w:sz w:val="32"/>
          <w:szCs w:val="32"/>
          <w:shd w:val="clear" w:color="auto" w:fill="FFFFFF"/>
        </w:rPr>
        <w:t>）政府</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办事处</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属地管理责任，提高从农田到餐桌全过程监管能力，不断提升全链条食品安全工作水平，保障人民群众身体健康和生命安全，根据《中华人民共和国食品安全法》等法律法规和《</w:t>
      </w:r>
      <w:r>
        <w:rPr>
          <w:rFonts w:hint="eastAsia" w:ascii="仿宋_GB2312" w:hAnsi="仿宋_GB2312" w:eastAsia="仿宋_GB2312" w:cs="仿宋_GB2312"/>
          <w:color w:val="000000"/>
          <w:sz w:val="32"/>
          <w:szCs w:val="32"/>
          <w:shd w:val="clear" w:color="auto" w:fill="FFFFFF"/>
          <w:lang w:val="en-US" w:eastAsia="zh-CN"/>
        </w:rPr>
        <w:t>枣庄市</w:t>
      </w:r>
      <w:r>
        <w:rPr>
          <w:rFonts w:hint="eastAsia" w:ascii="仿宋_GB2312" w:hAnsi="仿宋_GB2312" w:eastAsia="仿宋_GB2312" w:cs="仿宋_GB2312"/>
          <w:color w:val="000000"/>
          <w:sz w:val="32"/>
          <w:szCs w:val="32"/>
          <w:shd w:val="clear" w:color="auto" w:fill="FFFFFF"/>
        </w:rPr>
        <w:t>人民政府办公</w:t>
      </w:r>
      <w:r>
        <w:rPr>
          <w:rFonts w:hint="eastAsia" w:ascii="仿宋_GB2312" w:hAnsi="仿宋_GB2312" w:eastAsia="仿宋_GB2312" w:cs="仿宋_GB2312"/>
          <w:color w:val="000000"/>
          <w:sz w:val="32"/>
          <w:szCs w:val="32"/>
          <w:shd w:val="clear" w:color="auto" w:fill="FFFFFF"/>
          <w:lang w:val="en-US" w:eastAsia="zh-CN"/>
        </w:rPr>
        <w:t>室</w:t>
      </w:r>
      <w:r>
        <w:rPr>
          <w:rFonts w:hint="eastAsia" w:ascii="仿宋_GB2312" w:hAnsi="仿宋_GB2312" w:eastAsia="仿宋_GB2312" w:cs="仿宋_GB2312"/>
          <w:color w:val="000000"/>
          <w:sz w:val="32"/>
          <w:szCs w:val="32"/>
          <w:shd w:val="clear" w:color="auto" w:fill="FFFFFF"/>
        </w:rPr>
        <w:t>关于印发</w:t>
      </w:r>
      <w:r>
        <w:rPr>
          <w:rFonts w:hint="eastAsia" w:ascii="仿宋_GB2312" w:hAnsi="仿宋_GB2312" w:eastAsia="仿宋_GB2312" w:cs="仿宋_GB2312"/>
          <w:color w:val="000000"/>
          <w:sz w:val="32"/>
          <w:szCs w:val="32"/>
          <w:shd w:val="clear" w:color="auto" w:fill="FFFFFF"/>
          <w:lang w:val="en-US" w:eastAsia="zh-CN"/>
        </w:rPr>
        <w:t>枣庄市</w:t>
      </w:r>
      <w:r>
        <w:rPr>
          <w:rFonts w:hint="eastAsia" w:ascii="仿宋_GB2312" w:hAnsi="仿宋_GB2312" w:eastAsia="仿宋_GB2312" w:cs="仿宋_GB2312"/>
          <w:color w:val="000000"/>
          <w:sz w:val="32"/>
          <w:szCs w:val="32"/>
          <w:shd w:val="clear" w:color="auto" w:fill="FFFFFF"/>
        </w:rPr>
        <w:t>食品安全工作评议办法的通知》（</w:t>
      </w:r>
      <w:r>
        <w:rPr>
          <w:rFonts w:hint="eastAsia" w:ascii="仿宋_GB2312" w:hAnsi="仿宋_GB2312" w:eastAsia="仿宋_GB2312" w:cs="仿宋_GB2312"/>
          <w:color w:val="000000"/>
          <w:sz w:val="32"/>
          <w:szCs w:val="32"/>
          <w:shd w:val="clear" w:color="auto" w:fill="FFFFFF"/>
          <w:lang w:val="en-US" w:eastAsia="zh-CN"/>
        </w:rPr>
        <w:t>枣</w:t>
      </w:r>
      <w:r>
        <w:rPr>
          <w:rFonts w:hint="eastAsia" w:ascii="仿宋_GB2312" w:hAnsi="仿宋_GB2312" w:eastAsia="仿宋_GB2312" w:cs="仿宋_GB2312"/>
          <w:color w:val="000000"/>
          <w:sz w:val="32"/>
          <w:szCs w:val="32"/>
          <w:shd w:val="clear" w:color="auto" w:fill="FFFFFF"/>
        </w:rPr>
        <w:t>政办发〔2023〕</w:t>
      </w:r>
      <w:r>
        <w:rPr>
          <w:rFonts w:hint="eastAsia" w:ascii="仿宋_GB2312" w:hAnsi="仿宋_GB2312" w:eastAsia="仿宋_GB2312" w:cs="仿宋_GB2312"/>
          <w:color w:val="000000"/>
          <w:sz w:val="32"/>
          <w:szCs w:val="32"/>
          <w:shd w:val="clear" w:color="auto" w:fill="FFFFFF"/>
          <w:lang w:val="en-US" w:eastAsia="zh-CN"/>
        </w:rPr>
        <w:t>12</w:t>
      </w:r>
      <w:r>
        <w:rPr>
          <w:rFonts w:hint="eastAsia" w:ascii="仿宋_GB2312" w:hAnsi="仿宋_GB2312" w:eastAsia="仿宋_GB2312" w:cs="仿宋_GB2312"/>
          <w:color w:val="000000"/>
          <w:sz w:val="32"/>
          <w:szCs w:val="32"/>
          <w:shd w:val="clear" w:color="auto" w:fill="FFFFFF"/>
        </w:rPr>
        <w:t>号）要求，制定本办法。</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sz w:val="32"/>
          <w:szCs w:val="32"/>
          <w:shd w:val="clear" w:color="auto" w:fill="FFFFFF"/>
          <w:lang w:val="en-US" w:eastAsia="zh-CN"/>
        </w:rPr>
        <w:t>第二条</w:t>
      </w:r>
      <w:r>
        <w:rPr>
          <w:rFonts w:hint="eastAsia" w:ascii="仿宋_GB2312" w:hAnsi="仿宋_GB2312" w:eastAsia="仿宋_GB2312" w:cs="仿宋_GB2312"/>
          <w:color w:val="000000"/>
          <w:kern w:val="0"/>
          <w:sz w:val="32"/>
          <w:szCs w:val="32"/>
          <w:lang w:val="en-US" w:eastAsia="zh-CN" w:bidi="ar"/>
        </w:rPr>
        <w:t xml:space="preserve"> 评议工作坚持目标导向、问题导向，坚持客观公正、奖惩分明、推动创新、注重实效的原则，突出工作重点，注重工作过程，强化责任落实。</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sz w:val="32"/>
          <w:szCs w:val="32"/>
          <w:shd w:val="clear" w:color="auto" w:fill="FFFFFF"/>
          <w:lang w:val="en-US" w:eastAsia="zh-CN"/>
        </w:rPr>
        <w:t>第三条</w:t>
      </w:r>
      <w:r>
        <w:rPr>
          <w:rFonts w:hint="eastAsia" w:ascii="仿宋_GB2312" w:hAnsi="仿宋_GB2312" w:eastAsia="仿宋_GB2312" w:cs="仿宋_GB2312"/>
          <w:color w:val="000000"/>
          <w:kern w:val="0"/>
          <w:sz w:val="32"/>
          <w:szCs w:val="32"/>
          <w:lang w:val="en-US" w:eastAsia="zh-CN" w:bidi="ar"/>
        </w:rPr>
        <w:t xml:space="preserve"> 本办法评议对象为各镇（街）政府（办事处）。</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sz w:val="32"/>
          <w:szCs w:val="32"/>
          <w:shd w:val="clear" w:color="auto" w:fill="FFFFFF"/>
          <w:lang w:val="en-US" w:eastAsia="zh-CN"/>
        </w:rPr>
        <w:t>第四条</w:t>
      </w:r>
      <w:r>
        <w:rPr>
          <w:rFonts w:hint="eastAsia" w:ascii="仿宋_GB2312" w:hAnsi="仿宋_GB2312" w:eastAsia="仿宋_GB2312" w:cs="仿宋_GB2312"/>
          <w:color w:val="000000"/>
          <w:kern w:val="0"/>
          <w:sz w:val="32"/>
          <w:szCs w:val="32"/>
          <w:lang w:val="en-US" w:eastAsia="zh-CN" w:bidi="ar"/>
        </w:rPr>
        <w:t xml:space="preserve"> 评议工作由市食品药品安全委员会（以下简称市食药安委）统一领导。市食品药品安全委员会办公室（以下简称市食药安办）受市食药安委委托，会同市食药安委相关成员单位（以下简称相关成员单位）实施评议工作。 </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市食药安办及相关成员单位根据职责分工，对各镇（街）政府（办事处）食品安全工作情况进行评价。 </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sz w:val="32"/>
          <w:szCs w:val="32"/>
          <w:shd w:val="clear" w:color="auto" w:fill="FFFFFF"/>
          <w:lang w:val="en-US" w:eastAsia="zh-CN"/>
        </w:rPr>
        <w:t>第五条</w:t>
      </w:r>
      <w:r>
        <w:rPr>
          <w:rFonts w:hint="eastAsia" w:ascii="仿宋_GB2312" w:hAnsi="仿宋_GB2312" w:eastAsia="仿宋_GB2312" w:cs="仿宋_GB2312"/>
          <w:color w:val="000000"/>
          <w:kern w:val="0"/>
          <w:sz w:val="32"/>
          <w:szCs w:val="32"/>
          <w:lang w:val="en-US" w:eastAsia="zh-CN" w:bidi="ar"/>
        </w:rPr>
        <w:t xml:space="preserve"> 评议内容主要包括食品安全基础工作推进、年度重点工作落实、食品安全状况等，同时设置即时性工作评价和加减分项（评议内容要点见附件）。具体评议指标及分值在年度食品安全工作评议方案及其细则中明确，设置要科学合理，可操作、可评价、可区分，切实减轻基层负担。 </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lang w:val="en-US" w:eastAsia="zh-CN"/>
        </w:rPr>
        <w:t>第六条</w:t>
      </w:r>
      <w:r>
        <w:rPr>
          <w:rFonts w:hint="eastAsia" w:ascii="仿宋_GB2312" w:hAnsi="仿宋_GB2312" w:eastAsia="仿宋_GB2312" w:cs="仿宋_GB2312"/>
          <w:color w:val="000000"/>
          <w:kern w:val="0"/>
          <w:sz w:val="32"/>
          <w:szCs w:val="32"/>
          <w:lang w:val="en-US" w:eastAsia="zh-CN" w:bidi="ar"/>
        </w:rPr>
        <w:t xml:space="preserve"> 每年1月1日至12月31日为一个评议年度。每年9月底前，市食药安办组织相关成员单位制定并发布本年度评议方案及其细则。 </w:t>
      </w:r>
    </w:p>
    <w:p>
      <w:pPr>
        <w:keepNext w:val="0"/>
        <w:keepLines w:val="0"/>
        <w:pageBreakBefore w:val="0"/>
        <w:widowControl w:val="0"/>
        <w:suppressLineNumbers w:val="0"/>
        <w:kinsoku/>
        <w:wordWrap/>
        <w:overflowPunct w:val="0"/>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kern w:val="0"/>
          <w:sz w:val="32"/>
          <w:szCs w:val="32"/>
          <w:shd w:val="clear" w:color="auto" w:fill="FFFFFF"/>
          <w:lang w:val="en-US" w:eastAsia="zh-CN" w:bidi="ar"/>
        </w:rPr>
        <w:t>第七条</w:t>
      </w:r>
      <w:r>
        <w:rPr>
          <w:rFonts w:hint="eastAsia" w:ascii="仿宋_GB2312" w:hAnsi="仿宋_GB2312" w:eastAsia="仿宋_GB2312" w:cs="仿宋_GB2312"/>
          <w:color w:val="000000"/>
          <w:kern w:val="0"/>
          <w:sz w:val="32"/>
          <w:szCs w:val="32"/>
          <w:lang w:val="en-US" w:eastAsia="zh-CN" w:bidi="ar"/>
        </w:rPr>
        <w:t xml:space="preserve"> 评议采取以下程序: </w:t>
      </w:r>
    </w:p>
    <w:p>
      <w:pPr>
        <w:keepNext w:val="0"/>
        <w:keepLines w:val="0"/>
        <w:pageBreakBefore w:val="0"/>
        <w:widowControl w:val="0"/>
        <w:suppressLineNumbers w:val="0"/>
        <w:kinsoku/>
        <w:wordWrap/>
        <w:overflowPunct w:val="0"/>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一）日常评议。市食药安办及相关成员单位按照评议方案及其细则，根据工作需要，采取资料审查、明查暗访、调研督导等方式，对各镇（街）政府（办事处）任务完成情况进行定期评价，形成日常评议结果。市食药安办及相关成员单位对日常评议结果的公平性、公正性、准确性负责。 </w:t>
      </w:r>
    </w:p>
    <w:p>
      <w:pPr>
        <w:keepNext w:val="0"/>
        <w:keepLines w:val="0"/>
        <w:pageBreakBefore w:val="0"/>
        <w:widowControl w:val="0"/>
        <w:suppressLineNumbers w:val="0"/>
        <w:kinsoku/>
        <w:wordWrap/>
        <w:overflowPunct w:val="0"/>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（二）年中督促。市食药安办确定抽查的镇（街），会同相关成员单位组成工作组，实地督促上年度评议发现问题整改和本年度食品安全重点工作任务落实。 </w:t>
      </w:r>
    </w:p>
    <w:p>
      <w:pPr>
        <w:keepNext w:val="0"/>
        <w:keepLines w:val="0"/>
        <w:pageBreakBefore w:val="0"/>
        <w:widowControl w:val="0"/>
        <w:suppressLineNumbers w:val="0"/>
        <w:kinsoku/>
        <w:wordWrap/>
        <w:overflowPunct w:val="0"/>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（三）食品安全状况评价。市食药安办及相关成员单位对各镇（街）开展食品安全群众满意度测评、抽检监测等，综合相关情况形成地方食品安全状况评价结果。</w:t>
      </w:r>
    </w:p>
    <w:p>
      <w:pPr>
        <w:keepNext w:val="0"/>
        <w:keepLines w:val="0"/>
        <w:pageBreakBefore w:val="0"/>
        <w:widowControl w:val="0"/>
        <w:suppressLineNumbers w:val="0"/>
        <w:kinsoku/>
        <w:wordWrap/>
        <w:overflowPunct w:val="0"/>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四）年终自查。各镇（街）按照评议方案及其细则，对本年度食品安全基础工作、重点工作、即时性工作情况进行自评，形成自评报告，并将自评报告报市食药安办，相关材料对口报送各评议责任部门。各镇（街）政府（办事处）对自评报告和相关材料的真实性、准确性负责。 </w:t>
      </w:r>
    </w:p>
    <w:p>
      <w:pPr>
        <w:keepNext w:val="0"/>
        <w:keepLines w:val="0"/>
        <w:pageBreakBefore w:val="0"/>
        <w:widowControl w:val="0"/>
        <w:suppressLineNumbers w:val="0"/>
        <w:kinsoku/>
        <w:wordWrap/>
        <w:overflowPunct w:val="0"/>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五）年终评审。市食药安办及相关成员单位按照评议方案及其细则，结合地方自评和日常掌握情况，对相关评议指标进行评审，形成年终评审意见。市食药安办及相关成员单位对相关评审结果的公平性、公正性、准确性负责。 </w:t>
      </w:r>
    </w:p>
    <w:p>
      <w:pPr>
        <w:keepNext w:val="0"/>
        <w:keepLines w:val="0"/>
        <w:pageBreakBefore w:val="0"/>
        <w:widowControl w:val="0"/>
        <w:suppressLineNumbers w:val="0"/>
        <w:kinsoku/>
        <w:wordWrap/>
        <w:overflowPunct w:val="0"/>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（六）综合评议。市食药安办汇总各镇（街）的日常评议结果、食品安全状况评价结果、年终评审意见，会同相关成员单位共同研究加减分项、降级和否决情形，综合评议形成评议结果报市食药安委。 </w:t>
      </w:r>
    </w:p>
    <w:p>
      <w:pPr>
        <w:keepNext w:val="0"/>
        <w:keepLines w:val="0"/>
        <w:pageBreakBefore w:val="0"/>
        <w:widowControl w:val="0"/>
        <w:suppressLineNumbers w:val="0"/>
        <w:kinsoku/>
        <w:wordWrap/>
        <w:overflowPunct w:val="0"/>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（七）结果通报。市食药安委审定评议结果后，将评议结果通报各镇（街）政府（办事处），抄送各镇（街）食药安办和相关成员单位。 </w:t>
      </w:r>
    </w:p>
    <w:p>
      <w:pPr>
        <w:keepNext w:val="0"/>
        <w:keepLines w:val="0"/>
        <w:pageBreakBefore w:val="0"/>
        <w:widowControl w:val="0"/>
        <w:suppressLineNumbers w:val="0"/>
        <w:kinsoku/>
        <w:wordWrap/>
        <w:overflowPunct w:val="0"/>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kern w:val="0"/>
          <w:sz w:val="32"/>
          <w:szCs w:val="32"/>
          <w:shd w:val="clear" w:color="auto" w:fill="FFFFFF"/>
          <w:lang w:val="en-US" w:eastAsia="zh-CN" w:bidi="ar"/>
        </w:rPr>
        <w:t>第八条</w:t>
      </w:r>
      <w:r>
        <w:rPr>
          <w:rFonts w:hint="eastAsia" w:ascii="仿宋_GB2312" w:hAnsi="仿宋_GB2312" w:eastAsia="仿宋_GB2312" w:cs="仿宋_GB2312"/>
          <w:color w:val="000000"/>
          <w:kern w:val="0"/>
          <w:sz w:val="32"/>
          <w:szCs w:val="32"/>
          <w:lang w:val="en-US" w:eastAsia="zh-CN" w:bidi="ar"/>
        </w:rPr>
        <w:t xml:space="preserve"> 评议采取评分法，基准分为 100 分，加分项分值不超过 5 分，即时性工作、减分项分值在当年评议方案及其细则中明确。评议结果分A、B、C、D四个等级。得分排在前7名且无降级和否决情形的为A级，得分排在7名以后且无降级和否决情形的为B级。 </w:t>
      </w:r>
    </w:p>
    <w:p>
      <w:pPr>
        <w:keepNext w:val="0"/>
        <w:keepLines w:val="0"/>
        <w:pageBreakBefore w:val="0"/>
        <w:widowControl w:val="0"/>
        <w:suppressLineNumbers w:val="0"/>
        <w:kinsoku/>
        <w:wordWrap/>
        <w:overflowPunct w:val="0"/>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有下列情形之一的，评议等级下调一级，最低降至C级：</w:t>
      </w:r>
    </w:p>
    <w:p>
      <w:pPr>
        <w:keepNext w:val="0"/>
        <w:keepLines w:val="0"/>
        <w:pageBreakBefore w:val="0"/>
        <w:widowControl w:val="0"/>
        <w:suppressLineNumbers w:val="0"/>
        <w:kinsoku/>
        <w:wordWrap/>
        <w:overflowPunct w:val="0"/>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（一）本行政区域内未能有效建立健全分层分级精准防控、末端发力终端见效工作机制，食品安全属地管理责任落实不到位的；</w:t>
      </w:r>
    </w:p>
    <w:p>
      <w:pPr>
        <w:keepNext w:val="0"/>
        <w:keepLines w:val="0"/>
        <w:pageBreakBefore w:val="0"/>
        <w:widowControl w:val="0"/>
        <w:suppressLineNumbers w:val="0"/>
        <w:kinsoku/>
        <w:wordWrap/>
        <w:overflowPunct w:val="0"/>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（二）本行政区域内推进落实企业主体责任不到位，食品生产经营者食品安全总监或安全员配备率较低、未有效建立风险防控机制的； </w:t>
      </w:r>
    </w:p>
    <w:p>
      <w:pPr>
        <w:keepNext w:val="0"/>
        <w:keepLines w:val="0"/>
        <w:pageBreakBefore w:val="0"/>
        <w:widowControl w:val="0"/>
        <w:suppressLineNumbers w:val="0"/>
        <w:kinsoku/>
        <w:wordWrap/>
        <w:overflowPunct w:val="0"/>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（三）本行政区域内存在生产经营食品过程中掺杂掺假、使用非食品原料生产食品、在食品中添加食品添加剂以外的化学物质等违法犯罪行为，未按规定有效处置，造成严重不良影响的； </w:t>
      </w:r>
    </w:p>
    <w:p>
      <w:pPr>
        <w:keepNext w:val="0"/>
        <w:keepLines w:val="0"/>
        <w:pageBreakBefore w:val="0"/>
        <w:widowControl w:val="0"/>
        <w:suppressLineNumbers w:val="0"/>
        <w:kinsoku/>
        <w:wordWrap/>
        <w:overflowPunct w:val="0"/>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（四）本行政区域内发生违法使用农药兽药导致食用农产品农药兽药残留超标问题，造成严重不良影响的； </w:t>
      </w:r>
    </w:p>
    <w:p>
      <w:pPr>
        <w:keepNext w:val="0"/>
        <w:keepLines w:val="0"/>
        <w:pageBreakBefore w:val="0"/>
        <w:widowControl w:val="0"/>
        <w:suppressLineNumbers w:val="0"/>
        <w:kinsoku/>
        <w:wordWrap/>
        <w:overflowPunct w:val="0"/>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（五）本行政区域内发生耕地土壤污染源头防治不力导致食用农产品重金属超标问题，造成严重不良影响的； </w:t>
      </w:r>
    </w:p>
    <w:p>
      <w:pPr>
        <w:keepNext w:val="0"/>
        <w:keepLines w:val="0"/>
        <w:pageBreakBefore w:val="0"/>
        <w:widowControl w:val="0"/>
        <w:suppressLineNumbers w:val="0"/>
        <w:kinsoku/>
        <w:wordWrap/>
        <w:overflowPunct w:val="0"/>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（六）本行政区域内发生校园食品安全事件，未按规定有效处置，造成严重不良影响的； </w:t>
      </w:r>
    </w:p>
    <w:p>
      <w:pPr>
        <w:keepNext w:val="0"/>
        <w:keepLines w:val="0"/>
        <w:pageBreakBefore w:val="0"/>
        <w:widowControl w:val="0"/>
        <w:suppressLineNumbers w:val="0"/>
        <w:kinsoku/>
        <w:wordWrap/>
        <w:overflowPunct w:val="0"/>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（七）镇（街）政府（办事处）或其相关部门在食品安全工作评议中弄虚作假的； </w:t>
      </w:r>
    </w:p>
    <w:p>
      <w:pPr>
        <w:keepNext w:val="0"/>
        <w:keepLines w:val="0"/>
        <w:pageBreakBefore w:val="0"/>
        <w:widowControl w:val="0"/>
        <w:suppressLineNumbers w:val="0"/>
        <w:kinsoku/>
        <w:wordWrap/>
        <w:overflowPunct w:val="0"/>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（八）其他应当下调等级的情形。 </w:t>
      </w:r>
    </w:p>
    <w:p>
      <w:pPr>
        <w:keepNext w:val="0"/>
        <w:keepLines w:val="0"/>
        <w:pageBreakBefore w:val="0"/>
        <w:widowControl w:val="0"/>
        <w:suppressLineNumbers w:val="0"/>
        <w:kinsoku/>
        <w:wordWrap/>
        <w:overflowPunct w:val="0"/>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有下列情形之一的，评议考核等级为D级: </w:t>
      </w:r>
    </w:p>
    <w:p>
      <w:pPr>
        <w:keepNext w:val="0"/>
        <w:keepLines w:val="0"/>
        <w:pageBreakBefore w:val="0"/>
        <w:widowControl w:val="0"/>
        <w:suppressLineNumbers w:val="0"/>
        <w:kinsoku/>
        <w:wordWrap/>
        <w:overflowPunct w:val="0"/>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（一）对本行政区域内发生的食品安全事故，未及时组织协调有关部门开展有效处置应对，造成严重不良影响或者重大损失的； </w:t>
      </w:r>
    </w:p>
    <w:p>
      <w:pPr>
        <w:keepNext w:val="0"/>
        <w:keepLines w:val="0"/>
        <w:pageBreakBefore w:val="0"/>
        <w:widowControl w:val="0"/>
        <w:suppressLineNumbers w:val="0"/>
        <w:kinsoku/>
        <w:wordWrap/>
        <w:overflowPunct w:val="0"/>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（二）本行政区域内发生特别重大食品安全事故，或者连续发生重大食品安全事故的；</w:t>
      </w:r>
    </w:p>
    <w:p>
      <w:pPr>
        <w:keepNext w:val="0"/>
        <w:keepLines w:val="0"/>
        <w:pageBreakBefore w:val="0"/>
        <w:widowControl w:val="0"/>
        <w:suppressLineNumbers w:val="0"/>
        <w:kinsoku/>
        <w:wordWrap/>
        <w:overflowPunct w:val="0"/>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（三）镇（街）政府（办事处）或其相关部门隐瞒、谎报、缓报食品安全事故的； </w:t>
      </w:r>
    </w:p>
    <w:p>
      <w:pPr>
        <w:keepNext w:val="0"/>
        <w:keepLines w:val="0"/>
        <w:pageBreakBefore w:val="0"/>
        <w:widowControl w:val="0"/>
        <w:suppressLineNumbers w:val="0"/>
        <w:kinsoku/>
        <w:wordWrap/>
        <w:overflowPunct w:val="0"/>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（四）对本行政区域内涉及多环节的区域性食品安全问题，未及时组织整治，造成严重不良影响或者重大损失的； </w:t>
      </w:r>
    </w:p>
    <w:p>
      <w:pPr>
        <w:keepNext w:val="0"/>
        <w:keepLines w:val="0"/>
        <w:pageBreakBefore w:val="0"/>
        <w:widowControl w:val="0"/>
        <w:suppressLineNumbers w:val="0"/>
        <w:kinsoku/>
        <w:wordWrap/>
        <w:overflowPunct w:val="0"/>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（五）其他应当为 D 级的情形。 </w:t>
      </w:r>
    </w:p>
    <w:p>
      <w:pPr>
        <w:keepNext w:val="0"/>
        <w:keepLines w:val="0"/>
        <w:pageBreakBefore w:val="0"/>
        <w:widowControl w:val="0"/>
        <w:suppressLineNumbers w:val="0"/>
        <w:kinsoku/>
        <w:wordWrap/>
        <w:overflowPunct w:val="0"/>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color w:val="000000"/>
          <w:kern w:val="0"/>
          <w:sz w:val="32"/>
          <w:szCs w:val="32"/>
          <w:shd w:val="clear" w:color="auto" w:fill="FFFFFF"/>
          <w:lang w:val="en-US" w:eastAsia="zh-CN" w:bidi="ar"/>
        </w:rPr>
        <w:t>第九条</w:t>
      </w:r>
      <w:r>
        <w:rPr>
          <w:rFonts w:hint="eastAsia" w:ascii="仿宋_GB2312" w:hAnsi="仿宋_GB2312" w:eastAsia="仿宋_GB2312" w:cs="仿宋_GB2312"/>
          <w:color w:val="000000"/>
          <w:kern w:val="0"/>
          <w:sz w:val="32"/>
          <w:szCs w:val="32"/>
          <w:lang w:val="en-US" w:eastAsia="zh-CN" w:bidi="ar"/>
        </w:rPr>
        <w:t xml:space="preserve"> 本评议年度评议结果通报之前，次年发生食品安全事件造成不良社会影响的，纳入本评议年度予以减分或降级，不再纳入次年年度评议。 </w:t>
      </w:r>
    </w:p>
    <w:p>
      <w:pPr>
        <w:keepNext w:val="0"/>
        <w:keepLines w:val="0"/>
        <w:pageBreakBefore w:val="0"/>
        <w:widowControl w:val="0"/>
        <w:suppressLineNumbers w:val="0"/>
        <w:kinsoku/>
        <w:wordWrap/>
        <w:overflowPunct w:val="0"/>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color w:val="000000"/>
          <w:kern w:val="0"/>
          <w:sz w:val="32"/>
          <w:szCs w:val="32"/>
          <w:shd w:val="clear" w:color="auto" w:fill="FFFFFF"/>
          <w:lang w:val="en-US" w:eastAsia="zh-CN" w:bidi="ar"/>
        </w:rPr>
        <w:t>第十条</w:t>
      </w:r>
      <w:r>
        <w:rPr>
          <w:rFonts w:hint="eastAsia" w:ascii="仿宋_GB2312" w:hAnsi="仿宋_GB2312" w:eastAsia="仿宋_GB2312" w:cs="仿宋_GB2312"/>
          <w:color w:val="000000"/>
          <w:kern w:val="0"/>
          <w:sz w:val="32"/>
          <w:szCs w:val="32"/>
          <w:lang w:val="en-US" w:eastAsia="zh-CN" w:bidi="ar"/>
        </w:rPr>
        <w:t xml:space="preserve"> 各镇（街）政府（办事处）应当在评议结果通报后一个月内，向市食药安委作出书面报告，对通报的问题提出整改措施与时限，并抄送市食药安办。 </w:t>
      </w:r>
    </w:p>
    <w:p>
      <w:pPr>
        <w:keepNext w:val="0"/>
        <w:keepLines w:val="0"/>
        <w:pageBreakBefore w:val="0"/>
        <w:widowControl w:val="0"/>
        <w:suppressLineNumbers w:val="0"/>
        <w:kinsoku/>
        <w:wordWrap/>
        <w:overflowPunct w:val="0"/>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市食药安办根据职责，向相关成员单位通报各镇（街）政府（办事处）有关整改措施与时限。市食药安办及相关成员单位应当督促各镇（街）政府（办事处）完成通报问题整改，对评议排名靠后的镇（街）加强指导。 </w:t>
      </w:r>
    </w:p>
    <w:p>
      <w:pPr>
        <w:keepNext w:val="0"/>
        <w:keepLines w:val="0"/>
        <w:pageBreakBefore w:val="0"/>
        <w:widowControl w:val="0"/>
        <w:suppressLineNumbers w:val="0"/>
        <w:kinsoku/>
        <w:wordWrap/>
        <w:overflowPunct w:val="0"/>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color w:val="000000"/>
          <w:kern w:val="0"/>
          <w:sz w:val="32"/>
          <w:szCs w:val="32"/>
          <w:shd w:val="clear" w:color="auto" w:fill="FFFFFF"/>
          <w:lang w:val="en-US" w:eastAsia="zh-CN" w:bidi="ar"/>
        </w:rPr>
        <w:t>第十一条</w:t>
      </w:r>
      <w:r>
        <w:rPr>
          <w:rFonts w:hint="eastAsia" w:ascii="仿宋_GB2312" w:hAnsi="仿宋_GB2312" w:eastAsia="仿宋_GB2312" w:cs="仿宋_GB2312"/>
          <w:color w:val="000000"/>
          <w:kern w:val="0"/>
          <w:sz w:val="32"/>
          <w:szCs w:val="32"/>
          <w:lang w:val="en-US" w:eastAsia="zh-CN" w:bidi="ar"/>
        </w:rPr>
        <w:t xml:space="preserve"> 评议结果交由干部主管部门作为各镇（街）政府（办事处）领导班子、领导干部综合考核评价的重要内容，作为干部奖惩和使用、调整的重要参考。评议中发现需要问责的问题线索移交纪检监察机关。 </w:t>
      </w:r>
    </w:p>
    <w:p>
      <w:pPr>
        <w:keepNext w:val="0"/>
        <w:keepLines w:val="0"/>
        <w:pageBreakBefore w:val="0"/>
        <w:widowControl w:val="0"/>
        <w:suppressLineNumbers w:val="0"/>
        <w:kinsoku/>
        <w:wordWrap/>
        <w:overflowPunct w:val="0"/>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color w:val="000000"/>
          <w:kern w:val="0"/>
          <w:sz w:val="32"/>
          <w:szCs w:val="32"/>
          <w:shd w:val="clear" w:color="auto" w:fill="FFFFFF"/>
          <w:lang w:val="en-US" w:eastAsia="zh-CN" w:bidi="ar"/>
        </w:rPr>
        <w:t>第十二条</w:t>
      </w:r>
      <w:r>
        <w:rPr>
          <w:rFonts w:hint="eastAsia" w:ascii="仿宋_GB2312" w:hAnsi="仿宋_GB2312" w:eastAsia="仿宋_GB2312" w:cs="仿宋_GB2312"/>
          <w:color w:val="000000"/>
          <w:kern w:val="0"/>
          <w:sz w:val="32"/>
          <w:szCs w:val="32"/>
          <w:lang w:val="en-US" w:eastAsia="zh-CN" w:bidi="ar"/>
        </w:rPr>
        <w:t xml:space="preserve"> 各镇（街）政府（办事处）有下列情形之一的，由市食药安委予以通报表扬: </w:t>
      </w:r>
    </w:p>
    <w:p>
      <w:pPr>
        <w:keepNext w:val="0"/>
        <w:keepLines w:val="0"/>
        <w:pageBreakBefore w:val="0"/>
        <w:widowControl w:val="0"/>
        <w:suppressLineNumbers w:val="0"/>
        <w:kinsoku/>
        <w:wordWrap/>
        <w:overflowPunct w:val="0"/>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（一）评议结果为 A 级的；</w:t>
      </w:r>
    </w:p>
    <w:p>
      <w:pPr>
        <w:keepNext w:val="0"/>
        <w:keepLines w:val="0"/>
        <w:pageBreakBefore w:val="0"/>
        <w:widowControl w:val="0"/>
        <w:suppressLineNumbers w:val="0"/>
        <w:kinsoku/>
        <w:wordWrap/>
        <w:overflowPunct w:val="0"/>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（二）评议排名较上一年度提升较大的； </w:t>
      </w:r>
    </w:p>
    <w:p>
      <w:pPr>
        <w:keepNext w:val="0"/>
        <w:keepLines w:val="0"/>
        <w:pageBreakBefore w:val="0"/>
        <w:widowControl w:val="0"/>
        <w:suppressLineNumbers w:val="0"/>
        <w:kinsoku/>
        <w:wordWrap/>
        <w:overflowPunct w:val="0"/>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（三）基础工作推进、重点工作落实、工作创新、食品安全状况等方面成效突出的。 </w:t>
      </w:r>
    </w:p>
    <w:p>
      <w:pPr>
        <w:keepNext w:val="0"/>
        <w:keepLines w:val="0"/>
        <w:pageBreakBefore w:val="0"/>
        <w:widowControl w:val="0"/>
        <w:suppressLineNumbers w:val="0"/>
        <w:kinsoku/>
        <w:wordWrap/>
        <w:overflowPunct w:val="0"/>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对评议结果 A 级的镇（街）以及名次较上年前移7位及以上的镇（街），按照有关规定给予激励奖励。 </w:t>
      </w:r>
    </w:p>
    <w:p>
      <w:pPr>
        <w:keepNext w:val="0"/>
        <w:keepLines w:val="0"/>
        <w:pageBreakBefore w:val="0"/>
        <w:widowControl w:val="0"/>
        <w:suppressLineNumbers w:val="0"/>
        <w:kinsoku/>
        <w:wordWrap/>
        <w:overflowPunct w:val="0"/>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对在食品安全工作中作出突出贡献的单位和个人，按照国家和省、市有关规定给予表彰、奖励。 </w:t>
      </w:r>
    </w:p>
    <w:p>
      <w:pPr>
        <w:keepNext w:val="0"/>
        <w:keepLines w:val="0"/>
        <w:pageBreakBefore w:val="0"/>
        <w:widowControl w:val="0"/>
        <w:suppressLineNumbers w:val="0"/>
        <w:kinsoku/>
        <w:wordWrap/>
        <w:overflowPunct w:val="0"/>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市食药安办及时对各镇（街）创新性示范经验做法进行总结推广，并通报相关成员单位。 </w:t>
      </w:r>
    </w:p>
    <w:p>
      <w:pPr>
        <w:keepNext w:val="0"/>
        <w:keepLines w:val="0"/>
        <w:pageBreakBefore w:val="0"/>
        <w:widowControl w:val="0"/>
        <w:suppressLineNumbers w:val="0"/>
        <w:kinsoku/>
        <w:wordWrap/>
        <w:overflowPunct w:val="0"/>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color w:val="000000"/>
          <w:kern w:val="0"/>
          <w:sz w:val="32"/>
          <w:szCs w:val="32"/>
          <w:shd w:val="clear" w:color="auto" w:fill="FFFFFF"/>
          <w:lang w:val="en-US" w:eastAsia="zh-CN" w:bidi="ar"/>
        </w:rPr>
        <w:t>第十三条</w:t>
      </w:r>
      <w:r>
        <w:rPr>
          <w:rFonts w:hint="eastAsia" w:ascii="仿宋_GB2312" w:hAnsi="仿宋_GB2312" w:eastAsia="仿宋_GB2312" w:cs="仿宋_GB2312"/>
          <w:color w:val="000000"/>
          <w:kern w:val="0"/>
          <w:sz w:val="32"/>
          <w:szCs w:val="32"/>
          <w:lang w:val="en-US" w:eastAsia="zh-CN" w:bidi="ar"/>
        </w:rPr>
        <w:t xml:space="preserve"> 各镇（街）政府（办事处）有评议结果为D级或评议排名连续三年列最后5名情形的，由市食药安委委托市食药安办会同相关部门约谈镇（街）政府（办事处）有关负责人，必要时由市政府领导同志约谈镇（街）政府（办事处）主要负责人。 </w:t>
      </w:r>
    </w:p>
    <w:p>
      <w:pPr>
        <w:keepNext w:val="0"/>
        <w:keepLines w:val="0"/>
        <w:pageBreakBefore w:val="0"/>
        <w:widowControl w:val="0"/>
        <w:suppressLineNumbers w:val="0"/>
        <w:kinsoku/>
        <w:wordWrap/>
        <w:overflowPunct w:val="0"/>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被约谈的镇（街）政府（办事处）有关领导干部不得参加有关表彰、年度评奖等。 </w:t>
      </w:r>
    </w:p>
    <w:p>
      <w:pPr>
        <w:keepNext w:val="0"/>
        <w:keepLines w:val="0"/>
        <w:pageBreakBefore w:val="0"/>
        <w:widowControl w:val="0"/>
        <w:suppressLineNumbers w:val="0"/>
        <w:kinsoku/>
        <w:wordWrap/>
        <w:overflowPunct w:val="0"/>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各镇（街）政府（办事处）有评议排名退步较大（位次下降7位及以上的）或上年度评议发现问题未整改到位情形的，由市食药安办会同相关部门视情约谈镇（街）食药安办主要负责人。 </w:t>
      </w:r>
    </w:p>
    <w:p>
      <w:pPr>
        <w:keepNext w:val="0"/>
        <w:keepLines w:val="0"/>
        <w:pageBreakBefore w:val="0"/>
        <w:widowControl w:val="0"/>
        <w:suppressLineNumbers w:val="0"/>
        <w:kinsoku/>
        <w:wordWrap/>
        <w:overflowPunct w:val="0"/>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color w:val="000000"/>
          <w:kern w:val="0"/>
          <w:sz w:val="32"/>
          <w:szCs w:val="32"/>
          <w:shd w:val="clear" w:color="auto" w:fill="FFFFFF"/>
          <w:lang w:val="en-US" w:eastAsia="zh-CN" w:bidi="ar"/>
        </w:rPr>
        <w:t>第十四条</w:t>
      </w:r>
      <w:r>
        <w:rPr>
          <w:rFonts w:hint="eastAsia" w:ascii="仿宋_GB2312" w:hAnsi="仿宋_GB2312" w:eastAsia="仿宋_GB2312" w:cs="仿宋_GB2312"/>
          <w:color w:val="000000"/>
          <w:kern w:val="0"/>
          <w:sz w:val="32"/>
          <w:szCs w:val="32"/>
          <w:lang w:val="en-US" w:eastAsia="zh-CN" w:bidi="ar"/>
        </w:rPr>
        <w:t xml:space="preserve"> 对在食品安全工作评议中弄虚作假的，予以通报批评；情节严重的，依规依纪依法追究相关人员责任。 </w:t>
      </w:r>
    </w:p>
    <w:p>
      <w:pPr>
        <w:keepNext w:val="0"/>
        <w:keepLines w:val="0"/>
        <w:pageBreakBefore w:val="0"/>
        <w:widowControl w:val="0"/>
        <w:suppressLineNumbers w:val="0"/>
        <w:kinsoku/>
        <w:wordWrap/>
        <w:overflowPunct w:val="0"/>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color w:val="000000"/>
          <w:kern w:val="0"/>
          <w:sz w:val="32"/>
          <w:szCs w:val="32"/>
          <w:shd w:val="clear" w:color="auto" w:fill="FFFFFF"/>
          <w:lang w:val="en-US" w:eastAsia="zh-CN" w:bidi="ar"/>
        </w:rPr>
        <w:t>第十五条</w:t>
      </w:r>
      <w:r>
        <w:rPr>
          <w:rFonts w:hint="eastAsia" w:ascii="仿宋_GB2312" w:hAnsi="仿宋_GB2312" w:eastAsia="仿宋_GB2312" w:cs="仿宋_GB2312"/>
          <w:color w:val="000000"/>
          <w:kern w:val="0"/>
          <w:sz w:val="32"/>
          <w:szCs w:val="32"/>
          <w:lang w:val="en-US" w:eastAsia="zh-CN" w:bidi="ar"/>
        </w:rPr>
        <w:t xml:space="preserve"> 各镇（街）政府（办事处）可参照本办法，结合实际，依法制定本地区食品安全工作评议办法。 </w:t>
      </w:r>
    </w:p>
    <w:p>
      <w:pPr>
        <w:keepNext w:val="0"/>
        <w:keepLines w:val="0"/>
        <w:pageBreakBefore w:val="0"/>
        <w:widowControl w:val="0"/>
        <w:suppressLineNumbers w:val="0"/>
        <w:kinsoku/>
        <w:wordWrap/>
        <w:overflowPunct w:val="0"/>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color w:val="000000"/>
          <w:kern w:val="0"/>
          <w:sz w:val="32"/>
          <w:szCs w:val="32"/>
          <w:shd w:val="clear" w:color="auto" w:fill="FFFFFF"/>
          <w:lang w:val="en-US" w:eastAsia="zh-CN" w:bidi="ar"/>
        </w:rPr>
        <w:t>第十六条</w:t>
      </w:r>
      <w:r>
        <w:rPr>
          <w:rFonts w:hint="eastAsia" w:ascii="仿宋_GB2312" w:hAnsi="仿宋_GB2312" w:eastAsia="仿宋_GB2312" w:cs="仿宋_GB2312"/>
          <w:color w:val="000000"/>
          <w:kern w:val="0"/>
          <w:sz w:val="32"/>
          <w:szCs w:val="32"/>
          <w:lang w:val="en-US" w:eastAsia="zh-CN" w:bidi="ar"/>
        </w:rPr>
        <w:t xml:space="preserve"> 对直接承担食品安全监管责任的市食药安委成员单位的评议，由市食药安委委托市食药安办另行组织，重点评议食品安全工作履职、年度重点工作落实、食药安委制度执行等情况。 </w:t>
      </w:r>
    </w:p>
    <w:p>
      <w:pPr>
        <w:keepNext w:val="0"/>
        <w:keepLines w:val="0"/>
        <w:pageBreakBefore w:val="0"/>
        <w:widowControl w:val="0"/>
        <w:suppressLineNumbers w:val="0"/>
        <w:kinsoku/>
        <w:wordWrap/>
        <w:overflowPunct w:val="0"/>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color w:val="000000"/>
          <w:kern w:val="0"/>
          <w:sz w:val="32"/>
          <w:szCs w:val="32"/>
          <w:shd w:val="clear" w:color="auto" w:fill="FFFFFF"/>
          <w:lang w:val="en-US" w:eastAsia="zh-CN" w:bidi="ar"/>
        </w:rPr>
        <w:t>第十七条</w:t>
      </w:r>
      <w:r>
        <w:rPr>
          <w:rFonts w:hint="eastAsia" w:ascii="仿宋_GB2312" w:hAnsi="仿宋_GB2312" w:eastAsia="仿宋_GB2312" w:cs="仿宋_GB2312"/>
          <w:color w:val="000000"/>
          <w:kern w:val="0"/>
          <w:sz w:val="32"/>
          <w:szCs w:val="32"/>
          <w:lang w:val="en-US" w:eastAsia="zh-CN" w:bidi="ar"/>
        </w:rPr>
        <w:t xml:space="preserve"> 本办法由市食药安办负责解释，自印发之日起施行。 </w:t>
      </w:r>
    </w:p>
    <w:p>
      <w:pPr>
        <w:keepNext w:val="0"/>
        <w:keepLines w:val="0"/>
        <w:pageBreakBefore w:val="0"/>
        <w:widowControl w:val="0"/>
        <w:suppressLineNumbers w:val="0"/>
        <w:kinsoku/>
        <w:wordWrap/>
        <w:overflowPunct w:val="0"/>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附件：评议内容要点</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p>
    <w:p>
      <w:pPr>
        <w:keepNext w:val="0"/>
        <w:keepLines w:val="0"/>
        <w:widowControl/>
        <w:suppressLineNumbers w:val="0"/>
        <w:ind w:firstLine="640" w:firstLineChars="200"/>
        <w:jc w:val="left"/>
        <w:rPr>
          <w:rFonts w:hint="eastAsia" w:ascii="仿宋_GB2312" w:hAnsi="仿宋_GB2312" w:eastAsia="仿宋_GB2312" w:cs="仿宋_GB2312"/>
          <w:color w:val="000000"/>
          <w:sz w:val="32"/>
          <w:szCs w:val="32"/>
          <w:shd w:val="clear" w:color="auto" w:fill="FFFFFF"/>
        </w:rPr>
      </w:pPr>
    </w:p>
    <w:p>
      <w:pPr>
        <w:pStyle w:val="2"/>
        <w:rPr>
          <w:rFonts w:hint="eastAsia" w:ascii="仿宋_GB2312" w:hAnsi="仿宋_GB2312" w:eastAsia="仿宋_GB2312" w:cs="仿宋_GB2312"/>
          <w:color w:val="000000"/>
          <w:sz w:val="32"/>
          <w:szCs w:val="32"/>
          <w:shd w:val="clear" w:color="auto" w:fill="FFFFFF"/>
        </w:rPr>
      </w:pPr>
    </w:p>
    <w:p>
      <w:pPr>
        <w:pStyle w:val="2"/>
        <w:rPr>
          <w:rFonts w:hint="eastAsia" w:ascii="仿宋_GB2312" w:hAnsi="仿宋_GB2312" w:eastAsia="仿宋_GB2312" w:cs="仿宋_GB2312"/>
          <w:color w:val="000000"/>
          <w:sz w:val="32"/>
          <w:szCs w:val="32"/>
          <w:shd w:val="clear" w:color="auto" w:fill="FFFFFF"/>
        </w:rPr>
      </w:pPr>
    </w:p>
    <w:p>
      <w:pPr>
        <w:pStyle w:val="2"/>
        <w:rPr>
          <w:rFonts w:hint="eastAsia" w:ascii="仿宋_GB2312" w:hAnsi="仿宋_GB2312" w:eastAsia="仿宋_GB2312" w:cs="仿宋_GB2312"/>
          <w:color w:val="000000"/>
          <w:sz w:val="32"/>
          <w:szCs w:val="32"/>
          <w:shd w:val="clear" w:color="auto" w:fill="FFFFFF"/>
        </w:rPr>
      </w:pPr>
    </w:p>
    <w:p>
      <w:pPr>
        <w:pStyle w:val="2"/>
        <w:rPr>
          <w:rFonts w:hint="eastAsia" w:ascii="仿宋_GB2312" w:hAnsi="仿宋_GB2312" w:eastAsia="仿宋_GB2312" w:cs="仿宋_GB2312"/>
          <w:color w:val="000000"/>
          <w:sz w:val="32"/>
          <w:szCs w:val="32"/>
          <w:shd w:val="clear" w:color="auto" w:fill="FFFFFF"/>
        </w:rPr>
      </w:pPr>
    </w:p>
    <w:p>
      <w:pPr>
        <w:pStyle w:val="2"/>
        <w:rPr>
          <w:rFonts w:hint="eastAsia" w:ascii="仿宋_GB2312" w:hAnsi="仿宋_GB2312" w:eastAsia="仿宋_GB2312" w:cs="仿宋_GB2312"/>
          <w:color w:val="000000"/>
          <w:sz w:val="32"/>
          <w:szCs w:val="32"/>
          <w:shd w:val="clear" w:color="auto" w:fill="FFFFFF"/>
        </w:rPr>
      </w:pPr>
    </w:p>
    <w:p>
      <w:pPr>
        <w:pStyle w:val="2"/>
        <w:rPr>
          <w:rFonts w:hint="eastAsia" w:ascii="仿宋_GB2312" w:hAnsi="仿宋_GB2312" w:eastAsia="仿宋_GB2312" w:cs="仿宋_GB2312"/>
          <w:color w:val="000000"/>
          <w:sz w:val="32"/>
          <w:szCs w:val="32"/>
          <w:shd w:val="clear" w:color="auto" w:fill="FFFFFF"/>
        </w:rPr>
      </w:pPr>
    </w:p>
    <w:p>
      <w:pPr>
        <w:pStyle w:val="2"/>
        <w:ind w:left="0" w:leftChars="0" w:firstLine="0" w:firstLineChars="0"/>
        <w:rPr>
          <w:rFonts w:hint="eastAsia" w:ascii="黑体" w:hAnsi="宋体" w:eastAsia="黑体" w:cs="黑体"/>
          <w:color w:val="000000"/>
          <w:sz w:val="32"/>
          <w:szCs w:val="32"/>
          <w:shd w:val="clear" w:color="auto" w:fill="FFFFFF"/>
          <w:lang w:val="en-US" w:eastAsia="zh-CN"/>
        </w:rPr>
      </w:pPr>
      <w:r>
        <w:rPr>
          <w:rFonts w:hint="eastAsia" w:ascii="黑体" w:hAnsi="宋体" w:eastAsia="黑体" w:cs="黑体"/>
          <w:color w:val="000000"/>
          <w:sz w:val="32"/>
          <w:szCs w:val="32"/>
          <w:shd w:val="clear" w:color="auto" w:fill="FFFFFF"/>
          <w:lang w:val="en-US" w:eastAsia="zh-CN"/>
        </w:rPr>
        <w:t>附件</w:t>
      </w:r>
    </w:p>
    <w:p>
      <w:pPr>
        <w:keepNext w:val="0"/>
        <w:keepLines w:val="0"/>
        <w:widowControl/>
        <w:suppressLineNumbers w:val="0"/>
        <w:jc w:val="center"/>
      </w:pPr>
      <w:r>
        <w:rPr>
          <w:rFonts w:ascii="方正小标宋简体" w:hAnsi="方正小标宋简体" w:eastAsia="方正小标宋简体" w:cs="方正小标宋简体"/>
          <w:color w:val="000000"/>
          <w:kern w:val="0"/>
          <w:sz w:val="43"/>
          <w:szCs w:val="43"/>
          <w:lang w:val="en-US" w:eastAsia="zh-CN" w:bidi="ar"/>
        </w:rPr>
        <w:t>评议内容要点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477"/>
        <w:gridCol w:w="1124"/>
        <w:gridCol w:w="5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15" w:type="dxa"/>
          </w:tcPr>
          <w:p>
            <w:pPr>
              <w:keepNext w:val="0"/>
              <w:keepLines w:val="0"/>
              <w:widowControl/>
              <w:suppressLineNumbers w:val="0"/>
              <w:jc w:val="center"/>
              <w:rPr>
                <w:rFonts w:hint="eastAsia" w:ascii="黑体" w:hAnsi="宋体" w:eastAsia="黑体" w:cs="黑体"/>
                <w:color w:val="000000"/>
                <w:sz w:val="28"/>
                <w:szCs w:val="28"/>
                <w:shd w:val="clear" w:color="auto" w:fill="FFFFFF"/>
                <w:vertAlign w:val="baseline"/>
                <w:lang w:val="en-US" w:eastAsia="zh-CN"/>
              </w:rPr>
            </w:pPr>
            <w:r>
              <w:rPr>
                <w:rFonts w:ascii="黑体" w:hAnsi="宋体" w:eastAsia="黑体" w:cs="黑体"/>
                <w:color w:val="000000"/>
                <w:kern w:val="0"/>
                <w:sz w:val="28"/>
                <w:szCs w:val="28"/>
                <w:lang w:val="en-US" w:eastAsia="zh-CN" w:bidi="ar"/>
              </w:rPr>
              <w:t>序号</w:t>
            </w:r>
          </w:p>
        </w:tc>
        <w:tc>
          <w:tcPr>
            <w:tcW w:w="1477" w:type="dxa"/>
          </w:tcPr>
          <w:p>
            <w:pPr>
              <w:keepNext w:val="0"/>
              <w:keepLines w:val="0"/>
              <w:widowControl/>
              <w:suppressLineNumbers w:val="0"/>
              <w:jc w:val="center"/>
              <w:rPr>
                <w:rFonts w:hint="eastAsia" w:ascii="黑体" w:hAnsi="宋体" w:eastAsia="黑体" w:cs="黑体"/>
                <w:color w:val="000000"/>
                <w:sz w:val="28"/>
                <w:szCs w:val="28"/>
                <w:shd w:val="clear" w:color="auto" w:fill="FFFFFF"/>
                <w:vertAlign w:val="baseline"/>
                <w:lang w:val="en-US" w:eastAsia="zh-CN"/>
              </w:rPr>
            </w:pPr>
            <w:r>
              <w:rPr>
                <w:rFonts w:ascii="黑体" w:hAnsi="宋体" w:eastAsia="黑体" w:cs="黑体"/>
                <w:color w:val="000000"/>
                <w:kern w:val="0"/>
                <w:sz w:val="28"/>
                <w:szCs w:val="28"/>
                <w:lang w:val="en-US" w:eastAsia="zh-CN" w:bidi="ar"/>
              </w:rPr>
              <w:t>评议内容</w:t>
            </w:r>
          </w:p>
        </w:tc>
        <w:tc>
          <w:tcPr>
            <w:tcW w:w="1124" w:type="dxa"/>
          </w:tcPr>
          <w:p>
            <w:pPr>
              <w:keepNext w:val="0"/>
              <w:keepLines w:val="0"/>
              <w:widowControl/>
              <w:suppressLineNumbers w:val="0"/>
              <w:jc w:val="center"/>
              <w:rPr>
                <w:rFonts w:hint="eastAsia" w:ascii="黑体" w:hAnsi="宋体" w:eastAsia="黑体" w:cs="黑体"/>
                <w:color w:val="000000"/>
                <w:sz w:val="28"/>
                <w:szCs w:val="28"/>
                <w:shd w:val="clear" w:color="auto" w:fill="FFFFFF"/>
                <w:vertAlign w:val="baseline"/>
                <w:lang w:val="en-US" w:eastAsia="zh-CN"/>
              </w:rPr>
            </w:pPr>
            <w:r>
              <w:rPr>
                <w:rFonts w:ascii="黑体" w:hAnsi="宋体" w:eastAsia="黑体" w:cs="黑体"/>
                <w:color w:val="000000"/>
                <w:kern w:val="0"/>
                <w:sz w:val="28"/>
                <w:szCs w:val="28"/>
                <w:lang w:val="en-US" w:eastAsia="zh-CN" w:bidi="ar"/>
              </w:rPr>
              <w:t>分值</w:t>
            </w:r>
          </w:p>
        </w:tc>
        <w:tc>
          <w:tcPr>
            <w:tcW w:w="5304" w:type="dxa"/>
          </w:tcPr>
          <w:p>
            <w:pPr>
              <w:keepNext w:val="0"/>
              <w:keepLines w:val="0"/>
              <w:widowControl/>
              <w:suppressLineNumbers w:val="0"/>
              <w:jc w:val="center"/>
              <w:rPr>
                <w:rFonts w:hint="eastAsia" w:ascii="黑体" w:hAnsi="宋体" w:eastAsia="黑体" w:cs="黑体"/>
                <w:color w:val="000000"/>
                <w:sz w:val="28"/>
                <w:szCs w:val="28"/>
                <w:shd w:val="clear" w:color="auto" w:fill="FFFFFF"/>
                <w:vertAlign w:val="baseline"/>
                <w:lang w:val="en-US" w:eastAsia="zh-CN"/>
              </w:rPr>
            </w:pPr>
            <w:r>
              <w:rPr>
                <w:rFonts w:ascii="黑体" w:hAnsi="宋体" w:eastAsia="黑体" w:cs="黑体"/>
                <w:color w:val="000000"/>
                <w:kern w:val="0"/>
                <w:sz w:val="28"/>
                <w:szCs w:val="28"/>
                <w:lang w:val="en-US" w:eastAsia="zh-CN" w:bidi="ar"/>
              </w:rPr>
              <w:t>评议要点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pStyle w:val="2"/>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000000"/>
                <w:sz w:val="24"/>
                <w:szCs w:val="24"/>
                <w:shd w:val="clear" w:color="auto" w:fill="FFFFFF"/>
                <w:vertAlign w:val="baseline"/>
                <w:lang w:val="en-US" w:eastAsia="zh-CN"/>
              </w:rPr>
            </w:pPr>
            <w:r>
              <w:rPr>
                <w:rFonts w:hint="eastAsia" w:ascii="仿宋_GB2312" w:hAnsi="仿宋_GB2312" w:eastAsia="仿宋_GB2312" w:cs="仿宋_GB2312"/>
                <w:color w:val="000000"/>
                <w:sz w:val="24"/>
                <w:szCs w:val="24"/>
                <w:shd w:val="clear" w:color="auto" w:fill="FFFFFF"/>
                <w:vertAlign w:val="baseline"/>
                <w:lang w:val="en-US" w:eastAsia="zh-CN"/>
              </w:rPr>
              <w:t>1</w:t>
            </w:r>
          </w:p>
        </w:tc>
        <w:tc>
          <w:tcPr>
            <w:tcW w:w="14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4"/>
                <w:szCs w:val="24"/>
                <w:shd w:val="clear" w:color="auto" w:fill="FFFFFF"/>
                <w:vertAlign w:val="baseline"/>
                <w:lang w:val="en-US" w:eastAsia="zh-CN"/>
              </w:rPr>
            </w:pPr>
            <w:r>
              <w:rPr>
                <w:rFonts w:hint="eastAsia" w:ascii="仿宋_GB2312" w:hAnsi="仿宋_GB2312" w:eastAsia="仿宋_GB2312" w:cs="仿宋_GB2312"/>
                <w:color w:val="000000"/>
                <w:kern w:val="0"/>
                <w:sz w:val="24"/>
                <w:szCs w:val="24"/>
                <w:lang w:val="en-US" w:eastAsia="zh-CN" w:bidi="ar"/>
              </w:rPr>
              <w:t>食品安全基础工作</w:t>
            </w:r>
          </w:p>
        </w:tc>
        <w:tc>
          <w:tcPr>
            <w:tcW w:w="1124" w:type="dxa"/>
            <w:vMerge w:val="restart"/>
            <w:vAlign w:val="center"/>
          </w:tcPr>
          <w:p>
            <w:pPr>
              <w:pStyle w:val="2"/>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000000"/>
                <w:sz w:val="24"/>
                <w:szCs w:val="24"/>
                <w:shd w:val="clear" w:color="auto" w:fill="FFFFFF"/>
                <w:vertAlign w:val="baseline"/>
                <w:lang w:val="en-US" w:eastAsia="zh-CN"/>
              </w:rPr>
            </w:pPr>
            <w:r>
              <w:rPr>
                <w:rFonts w:hint="eastAsia" w:ascii="仿宋_GB2312" w:hAnsi="仿宋_GB2312" w:eastAsia="仿宋_GB2312" w:cs="仿宋_GB2312"/>
                <w:color w:val="000000"/>
                <w:sz w:val="24"/>
                <w:szCs w:val="24"/>
                <w:shd w:val="clear" w:color="auto" w:fill="FFFFFF"/>
                <w:vertAlign w:val="baseline"/>
                <w:lang w:val="en-US" w:eastAsia="zh-CN"/>
              </w:rPr>
              <w:t>100分</w:t>
            </w:r>
          </w:p>
        </w:tc>
        <w:tc>
          <w:tcPr>
            <w:tcW w:w="5304" w:type="dxa"/>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auto"/>
              <w:rPr>
                <w:rFonts w:hint="eastAsia" w:ascii="仿宋_GB2312" w:hAnsi="仿宋_GB2312" w:eastAsia="仿宋_GB2312" w:cs="仿宋_GB2312"/>
                <w:color w:val="000000"/>
                <w:sz w:val="24"/>
                <w:szCs w:val="24"/>
                <w:shd w:val="clear" w:color="auto" w:fill="FFFFFF"/>
                <w:vertAlign w:val="baseline"/>
                <w:lang w:val="en-US" w:eastAsia="zh-CN"/>
              </w:rPr>
            </w:pPr>
            <w:r>
              <w:rPr>
                <w:rFonts w:hint="eastAsia" w:ascii="仿宋_GB2312" w:hAnsi="仿宋_GB2312" w:eastAsia="仿宋_GB2312" w:cs="仿宋_GB2312"/>
                <w:color w:val="000000"/>
                <w:kern w:val="0"/>
                <w:sz w:val="24"/>
                <w:szCs w:val="24"/>
                <w:lang w:val="en-US" w:eastAsia="zh-CN" w:bidi="ar"/>
              </w:rPr>
              <w:t>组织领导、制度机制建设、责任体系建设、能力建设、队伍建设等。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pStyle w:val="2"/>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000000"/>
                <w:sz w:val="24"/>
                <w:szCs w:val="24"/>
                <w:shd w:val="clear" w:color="auto" w:fill="FFFFFF"/>
                <w:vertAlign w:val="baseline"/>
                <w:lang w:val="en-US" w:eastAsia="zh-CN"/>
              </w:rPr>
            </w:pPr>
            <w:r>
              <w:rPr>
                <w:rFonts w:hint="eastAsia" w:ascii="仿宋_GB2312" w:hAnsi="仿宋_GB2312" w:eastAsia="仿宋_GB2312" w:cs="仿宋_GB2312"/>
                <w:color w:val="000000"/>
                <w:sz w:val="24"/>
                <w:szCs w:val="24"/>
                <w:shd w:val="clear" w:color="auto" w:fill="FFFFFF"/>
                <w:vertAlign w:val="baseline"/>
                <w:lang w:val="en-US" w:eastAsia="zh-CN"/>
              </w:rPr>
              <w:t>2</w:t>
            </w:r>
          </w:p>
        </w:tc>
        <w:tc>
          <w:tcPr>
            <w:tcW w:w="14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食品安全</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4"/>
                <w:szCs w:val="24"/>
                <w:shd w:val="clear" w:color="auto" w:fill="FFFFFF"/>
                <w:vertAlign w:val="baseline"/>
                <w:lang w:val="en-US" w:eastAsia="zh-CN"/>
              </w:rPr>
            </w:pPr>
            <w:r>
              <w:rPr>
                <w:rFonts w:hint="eastAsia" w:ascii="仿宋_GB2312" w:hAnsi="仿宋_GB2312" w:eastAsia="仿宋_GB2312" w:cs="仿宋_GB2312"/>
                <w:color w:val="000000"/>
                <w:kern w:val="0"/>
                <w:sz w:val="24"/>
                <w:szCs w:val="24"/>
                <w:lang w:val="en-US" w:eastAsia="zh-CN" w:bidi="ar"/>
              </w:rPr>
              <w:t>年度重点工作</w:t>
            </w:r>
          </w:p>
        </w:tc>
        <w:tc>
          <w:tcPr>
            <w:tcW w:w="1124" w:type="dxa"/>
            <w:vMerge w:val="continue"/>
            <w:vAlign w:val="center"/>
          </w:tcPr>
          <w:p>
            <w:pPr>
              <w:pStyle w:val="2"/>
              <w:keepNext w:val="0"/>
              <w:keepLines w:val="0"/>
              <w:pageBreakBefore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4"/>
                <w:szCs w:val="24"/>
                <w:shd w:val="clear" w:color="auto" w:fill="FFFFFF"/>
                <w:vertAlign w:val="baseline"/>
                <w:lang w:val="en-US" w:eastAsia="zh-CN"/>
              </w:rPr>
            </w:pPr>
          </w:p>
        </w:tc>
        <w:tc>
          <w:tcPr>
            <w:tcW w:w="5304" w:type="dxa"/>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auto"/>
              <w:rPr>
                <w:rFonts w:hint="eastAsia" w:ascii="仿宋_GB2312" w:hAnsi="仿宋_GB2312" w:eastAsia="仿宋_GB2312" w:cs="仿宋_GB2312"/>
                <w:color w:val="000000"/>
                <w:sz w:val="24"/>
                <w:szCs w:val="24"/>
                <w:shd w:val="clear" w:color="auto" w:fill="FFFFFF"/>
                <w:vertAlign w:val="baseline"/>
                <w:lang w:val="en-US" w:eastAsia="zh-CN"/>
              </w:rPr>
            </w:pPr>
            <w:r>
              <w:rPr>
                <w:rFonts w:hint="eastAsia" w:ascii="仿宋_GB2312" w:hAnsi="仿宋_GB2312" w:eastAsia="仿宋_GB2312" w:cs="仿宋_GB2312"/>
                <w:color w:val="000000"/>
                <w:kern w:val="0"/>
                <w:sz w:val="24"/>
                <w:szCs w:val="24"/>
                <w:lang w:val="en-US" w:eastAsia="zh-CN" w:bidi="ar"/>
              </w:rPr>
              <w:t>标准实施、监督管理、风险管理、打击违法犯罪、落实生产经营者主体责任、产业发展、社会共治等。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pStyle w:val="2"/>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000000"/>
                <w:sz w:val="24"/>
                <w:szCs w:val="24"/>
                <w:shd w:val="clear" w:color="auto" w:fill="FFFFFF"/>
                <w:vertAlign w:val="baseline"/>
                <w:lang w:val="en-US" w:eastAsia="zh-CN"/>
              </w:rPr>
            </w:pPr>
            <w:r>
              <w:rPr>
                <w:rFonts w:hint="eastAsia" w:ascii="仿宋_GB2312" w:hAnsi="仿宋_GB2312" w:eastAsia="仿宋_GB2312" w:cs="仿宋_GB2312"/>
                <w:color w:val="000000"/>
                <w:sz w:val="24"/>
                <w:szCs w:val="24"/>
                <w:shd w:val="clear" w:color="auto" w:fill="FFFFFF"/>
                <w:vertAlign w:val="baseline"/>
                <w:lang w:val="en-US" w:eastAsia="zh-CN"/>
              </w:rPr>
              <w:t>3</w:t>
            </w:r>
          </w:p>
        </w:tc>
        <w:tc>
          <w:tcPr>
            <w:tcW w:w="14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食品安全</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4"/>
                <w:szCs w:val="24"/>
                <w:shd w:val="clear" w:color="auto" w:fill="FFFFFF"/>
                <w:vertAlign w:val="baseline"/>
                <w:lang w:val="en-US" w:eastAsia="zh-CN"/>
              </w:rPr>
            </w:pPr>
            <w:r>
              <w:rPr>
                <w:rFonts w:hint="eastAsia" w:ascii="仿宋_GB2312" w:hAnsi="仿宋_GB2312" w:eastAsia="仿宋_GB2312" w:cs="仿宋_GB2312"/>
                <w:color w:val="000000"/>
                <w:kern w:val="0"/>
                <w:sz w:val="24"/>
                <w:szCs w:val="24"/>
                <w:lang w:val="en-US" w:eastAsia="zh-CN" w:bidi="ar"/>
              </w:rPr>
              <w:t>状况</w:t>
            </w:r>
          </w:p>
        </w:tc>
        <w:tc>
          <w:tcPr>
            <w:tcW w:w="1124" w:type="dxa"/>
            <w:vMerge w:val="continue"/>
            <w:vAlign w:val="center"/>
          </w:tcPr>
          <w:p>
            <w:pPr>
              <w:pStyle w:val="2"/>
              <w:keepNext w:val="0"/>
              <w:keepLines w:val="0"/>
              <w:pageBreakBefore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4"/>
                <w:szCs w:val="24"/>
                <w:shd w:val="clear" w:color="auto" w:fill="FFFFFF"/>
                <w:vertAlign w:val="baseline"/>
                <w:lang w:val="en-US" w:eastAsia="zh-CN"/>
              </w:rPr>
            </w:pPr>
          </w:p>
        </w:tc>
        <w:tc>
          <w:tcPr>
            <w:tcW w:w="5304" w:type="dxa"/>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auto"/>
              <w:rPr>
                <w:rFonts w:hint="eastAsia" w:ascii="仿宋_GB2312" w:hAnsi="仿宋_GB2312" w:eastAsia="仿宋_GB2312" w:cs="仿宋_GB2312"/>
                <w:color w:val="000000"/>
                <w:sz w:val="24"/>
                <w:szCs w:val="24"/>
                <w:shd w:val="clear" w:color="auto" w:fill="FFFFFF"/>
                <w:vertAlign w:val="baseline"/>
                <w:lang w:val="en-US" w:eastAsia="zh-CN"/>
              </w:rPr>
            </w:pPr>
            <w:r>
              <w:rPr>
                <w:rFonts w:hint="eastAsia" w:ascii="仿宋_GB2312" w:hAnsi="仿宋_GB2312" w:eastAsia="仿宋_GB2312" w:cs="仿宋_GB2312"/>
                <w:color w:val="000000"/>
                <w:kern w:val="0"/>
                <w:sz w:val="24"/>
                <w:szCs w:val="24"/>
                <w:lang w:val="en-US" w:eastAsia="zh-CN" w:bidi="ar"/>
              </w:rPr>
              <w:t>食品安全群众满意度、食品评价性抽检合格率、农产品例行监测合格率等。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pStyle w:val="2"/>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000000"/>
                <w:sz w:val="24"/>
                <w:szCs w:val="24"/>
                <w:shd w:val="clear" w:color="auto" w:fill="FFFFFF"/>
                <w:vertAlign w:val="baseline"/>
                <w:lang w:val="en-US" w:eastAsia="zh-CN"/>
              </w:rPr>
            </w:pPr>
            <w:r>
              <w:rPr>
                <w:rFonts w:hint="eastAsia" w:ascii="仿宋_GB2312" w:hAnsi="仿宋_GB2312" w:eastAsia="仿宋_GB2312" w:cs="仿宋_GB2312"/>
                <w:color w:val="000000"/>
                <w:sz w:val="24"/>
                <w:szCs w:val="24"/>
                <w:shd w:val="clear" w:color="auto" w:fill="FFFFFF"/>
                <w:vertAlign w:val="baseline"/>
                <w:lang w:val="en-US" w:eastAsia="zh-CN"/>
              </w:rPr>
              <w:t>4</w:t>
            </w:r>
          </w:p>
        </w:tc>
        <w:tc>
          <w:tcPr>
            <w:tcW w:w="14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4"/>
                <w:szCs w:val="24"/>
                <w:shd w:val="clear" w:color="auto" w:fill="FFFFFF"/>
                <w:vertAlign w:val="baseline"/>
                <w:lang w:val="en-US" w:eastAsia="zh-CN"/>
              </w:rPr>
            </w:pPr>
            <w:r>
              <w:rPr>
                <w:rFonts w:hint="eastAsia" w:ascii="仿宋_GB2312" w:hAnsi="仿宋_GB2312" w:eastAsia="仿宋_GB2312" w:cs="仿宋_GB2312"/>
                <w:color w:val="000000"/>
                <w:kern w:val="0"/>
                <w:sz w:val="24"/>
                <w:szCs w:val="24"/>
                <w:lang w:val="en-US" w:eastAsia="zh-CN" w:bidi="ar"/>
              </w:rPr>
              <w:t>即时性工作</w:t>
            </w:r>
          </w:p>
        </w:tc>
        <w:tc>
          <w:tcPr>
            <w:tcW w:w="1124"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4"/>
                <w:szCs w:val="24"/>
                <w:shd w:val="clear" w:color="auto" w:fill="FFFFFF"/>
                <w:vertAlign w:val="baseline"/>
                <w:lang w:val="en-US" w:eastAsia="zh-CN"/>
              </w:rPr>
            </w:pPr>
            <w:r>
              <w:rPr>
                <w:rFonts w:hint="eastAsia" w:ascii="仿宋_GB2312" w:hAnsi="仿宋_GB2312" w:eastAsia="仿宋_GB2312" w:cs="仿宋_GB2312"/>
                <w:color w:val="000000"/>
                <w:kern w:val="0"/>
                <w:sz w:val="24"/>
                <w:szCs w:val="24"/>
                <w:lang w:val="en-US" w:eastAsia="zh-CN" w:bidi="ar"/>
              </w:rPr>
              <w:t>≤15分</w:t>
            </w:r>
          </w:p>
        </w:tc>
        <w:tc>
          <w:tcPr>
            <w:tcW w:w="5304" w:type="dxa"/>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auto"/>
              <w:rPr>
                <w:rFonts w:hint="eastAsia" w:ascii="仿宋_GB2312" w:hAnsi="仿宋_GB2312" w:eastAsia="仿宋_GB2312" w:cs="仿宋_GB2312"/>
                <w:color w:val="000000"/>
                <w:sz w:val="24"/>
                <w:szCs w:val="24"/>
                <w:shd w:val="clear" w:color="auto" w:fill="FFFFFF"/>
                <w:vertAlign w:val="baseline"/>
                <w:lang w:val="en-US" w:eastAsia="zh-CN"/>
              </w:rPr>
            </w:pPr>
            <w:r>
              <w:rPr>
                <w:rFonts w:hint="eastAsia" w:ascii="仿宋_GB2312" w:hAnsi="仿宋_GB2312" w:eastAsia="仿宋_GB2312" w:cs="仿宋_GB2312"/>
                <w:color w:val="000000"/>
                <w:kern w:val="0"/>
                <w:sz w:val="24"/>
                <w:szCs w:val="24"/>
                <w:lang w:val="en-US" w:eastAsia="zh-CN" w:bidi="ar"/>
              </w:rPr>
              <w:t>年度中枣庄、滕州两级市委、市政府部署的新增重点专项工作（如应对重大自然灾害、重大突发事件和开展重大专项整治等），以及枣庄市食药安委或滕州市食药安委部署的新增专项工作完成情况。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pStyle w:val="2"/>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000000"/>
                <w:sz w:val="24"/>
                <w:szCs w:val="24"/>
                <w:shd w:val="clear" w:color="auto" w:fill="FFFFFF"/>
                <w:vertAlign w:val="baseline"/>
                <w:lang w:val="en-US" w:eastAsia="zh-CN"/>
              </w:rPr>
            </w:pPr>
            <w:r>
              <w:rPr>
                <w:rFonts w:hint="eastAsia" w:ascii="仿宋_GB2312" w:hAnsi="仿宋_GB2312" w:eastAsia="仿宋_GB2312" w:cs="仿宋_GB2312"/>
                <w:color w:val="000000"/>
                <w:sz w:val="24"/>
                <w:szCs w:val="24"/>
                <w:shd w:val="clear" w:color="auto" w:fill="FFFFFF"/>
                <w:vertAlign w:val="baseline"/>
                <w:lang w:val="en-US" w:eastAsia="zh-CN"/>
              </w:rPr>
              <w:t>5</w:t>
            </w:r>
          </w:p>
        </w:tc>
        <w:tc>
          <w:tcPr>
            <w:tcW w:w="14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4"/>
                <w:szCs w:val="24"/>
                <w:shd w:val="clear" w:color="auto" w:fill="FFFFFF"/>
                <w:vertAlign w:val="baseline"/>
                <w:lang w:val="en-US" w:eastAsia="zh-CN"/>
              </w:rPr>
            </w:pPr>
            <w:r>
              <w:rPr>
                <w:rFonts w:hint="eastAsia" w:ascii="仿宋_GB2312" w:hAnsi="仿宋_GB2312" w:eastAsia="仿宋_GB2312" w:cs="仿宋_GB2312"/>
                <w:color w:val="000000"/>
                <w:kern w:val="0"/>
                <w:sz w:val="24"/>
                <w:szCs w:val="24"/>
                <w:lang w:val="en-US" w:eastAsia="zh-CN" w:bidi="ar"/>
              </w:rPr>
              <w:t>加分项</w:t>
            </w:r>
          </w:p>
        </w:tc>
        <w:tc>
          <w:tcPr>
            <w:tcW w:w="1124"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4"/>
                <w:szCs w:val="24"/>
                <w:shd w:val="clear" w:color="auto" w:fill="FFFFFF"/>
                <w:vertAlign w:val="baseline"/>
                <w:lang w:val="en-US" w:eastAsia="zh-CN"/>
              </w:rPr>
            </w:pPr>
            <w:r>
              <w:rPr>
                <w:rFonts w:hint="eastAsia" w:ascii="仿宋_GB2312" w:hAnsi="仿宋_GB2312" w:eastAsia="仿宋_GB2312" w:cs="仿宋_GB2312"/>
                <w:color w:val="000000"/>
                <w:kern w:val="0"/>
                <w:sz w:val="24"/>
                <w:szCs w:val="24"/>
                <w:lang w:val="en-US" w:eastAsia="zh-CN" w:bidi="ar"/>
              </w:rPr>
              <w:t>≤5分</w:t>
            </w:r>
          </w:p>
        </w:tc>
        <w:tc>
          <w:tcPr>
            <w:tcW w:w="5304" w:type="dxa"/>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auto"/>
              <w:rPr>
                <w:rFonts w:hint="eastAsia" w:ascii="仿宋_GB2312" w:hAnsi="仿宋_GB2312" w:eastAsia="仿宋_GB2312" w:cs="仿宋_GB2312"/>
                <w:color w:val="000000"/>
                <w:sz w:val="24"/>
                <w:szCs w:val="24"/>
                <w:shd w:val="clear" w:color="auto" w:fill="FFFFFF"/>
                <w:vertAlign w:val="baseline"/>
                <w:lang w:val="en-US" w:eastAsia="zh-CN"/>
              </w:rPr>
            </w:pPr>
            <w:r>
              <w:rPr>
                <w:rFonts w:hint="eastAsia" w:ascii="仿宋_GB2312" w:hAnsi="仿宋_GB2312" w:eastAsia="仿宋_GB2312" w:cs="仿宋_GB2312"/>
                <w:color w:val="000000"/>
                <w:kern w:val="0"/>
                <w:sz w:val="24"/>
                <w:szCs w:val="24"/>
                <w:lang w:val="en-US" w:eastAsia="zh-CN" w:bidi="ar"/>
              </w:rPr>
              <w:t>在落实党政同责（包括队伍建设、投入保障等）、监管工作、推动产业高质量发展、推进社会共治等方面形成创新性示范经验做法，以及在重大活动保障等方面取得突出成效。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pStyle w:val="2"/>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000000"/>
                <w:sz w:val="24"/>
                <w:szCs w:val="24"/>
                <w:shd w:val="clear" w:color="auto" w:fill="FFFFFF"/>
                <w:vertAlign w:val="baseline"/>
                <w:lang w:val="en-US" w:eastAsia="zh-CN"/>
              </w:rPr>
            </w:pPr>
            <w:r>
              <w:rPr>
                <w:rFonts w:hint="eastAsia" w:ascii="仿宋_GB2312" w:hAnsi="仿宋_GB2312" w:eastAsia="仿宋_GB2312" w:cs="仿宋_GB2312"/>
                <w:color w:val="000000"/>
                <w:sz w:val="24"/>
                <w:szCs w:val="24"/>
                <w:shd w:val="clear" w:color="auto" w:fill="FFFFFF"/>
                <w:vertAlign w:val="baseline"/>
                <w:lang w:val="en-US" w:eastAsia="zh-CN"/>
              </w:rPr>
              <w:t>6</w:t>
            </w:r>
          </w:p>
        </w:tc>
        <w:tc>
          <w:tcPr>
            <w:tcW w:w="14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4"/>
                <w:szCs w:val="24"/>
                <w:shd w:val="clear" w:color="auto" w:fill="FFFFFF"/>
                <w:vertAlign w:val="baseline"/>
                <w:lang w:val="en-US" w:eastAsia="zh-CN"/>
              </w:rPr>
            </w:pPr>
            <w:r>
              <w:rPr>
                <w:rFonts w:hint="eastAsia" w:ascii="仿宋_GB2312" w:hAnsi="仿宋_GB2312" w:eastAsia="仿宋_GB2312" w:cs="仿宋_GB2312"/>
                <w:color w:val="000000"/>
                <w:kern w:val="0"/>
                <w:sz w:val="24"/>
                <w:szCs w:val="24"/>
                <w:lang w:val="en-US" w:eastAsia="zh-CN" w:bidi="ar"/>
              </w:rPr>
              <w:t>减分项</w:t>
            </w:r>
          </w:p>
        </w:tc>
        <w:tc>
          <w:tcPr>
            <w:tcW w:w="1124" w:type="dxa"/>
            <w:vAlign w:val="center"/>
          </w:tcPr>
          <w:p>
            <w:pPr>
              <w:pStyle w:val="2"/>
              <w:keepNext w:val="0"/>
              <w:keepLines w:val="0"/>
              <w:pageBreakBefore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4"/>
                <w:szCs w:val="24"/>
                <w:shd w:val="clear" w:color="auto" w:fill="FFFFFF"/>
                <w:vertAlign w:val="baseline"/>
                <w:lang w:val="en-US" w:eastAsia="zh-CN"/>
              </w:rPr>
            </w:pPr>
          </w:p>
        </w:tc>
        <w:tc>
          <w:tcPr>
            <w:tcW w:w="5304" w:type="dxa"/>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auto"/>
              <w:rPr>
                <w:rFonts w:hint="eastAsia" w:ascii="仿宋_GB2312" w:hAnsi="仿宋_GB2312" w:eastAsia="仿宋_GB2312" w:cs="仿宋_GB2312"/>
                <w:color w:val="000000"/>
                <w:sz w:val="24"/>
                <w:szCs w:val="24"/>
                <w:shd w:val="clear" w:color="auto" w:fill="FFFFFF"/>
                <w:vertAlign w:val="baseline"/>
                <w:lang w:val="en-US" w:eastAsia="zh-CN"/>
              </w:rPr>
            </w:pPr>
            <w:r>
              <w:rPr>
                <w:rFonts w:hint="eastAsia" w:ascii="仿宋_GB2312" w:hAnsi="仿宋_GB2312" w:eastAsia="仿宋_GB2312" w:cs="仿宋_GB2312"/>
                <w:color w:val="000000"/>
                <w:kern w:val="0"/>
                <w:sz w:val="24"/>
                <w:szCs w:val="24"/>
                <w:lang w:val="en-US" w:eastAsia="zh-CN" w:bidi="ar"/>
              </w:rPr>
              <w:t>发生食品安全事件、上年度评议考核发现问题未整改到位等。</w:t>
            </w:r>
          </w:p>
        </w:tc>
      </w:tr>
    </w:tbl>
    <w:p>
      <w:pPr>
        <w:keepNext w:val="0"/>
        <w:keepLines w:val="0"/>
        <w:widowControl/>
        <w:suppressLineNumbers w:val="0"/>
        <w:jc w:val="left"/>
        <w:rPr>
          <w:rFonts w:ascii="仿宋_GB2312" w:hAnsi="宋体" w:eastAsia="仿宋_GB2312" w:cs="仿宋_GB2312"/>
          <w:color w:val="000000"/>
          <w:kern w:val="0"/>
          <w:sz w:val="24"/>
          <w:szCs w:val="24"/>
          <w:lang w:val="en-US" w:eastAsia="zh-CN" w:bidi="ar"/>
        </w:rPr>
      </w:pPr>
    </w:p>
    <w:p>
      <w:pPr>
        <w:keepNext w:val="0"/>
        <w:keepLines w:val="0"/>
        <w:widowControl/>
        <w:suppressLineNumbers w:val="0"/>
        <w:jc w:val="left"/>
      </w:pPr>
      <w:r>
        <w:rPr>
          <w:rFonts w:ascii="仿宋_GB2312" w:hAnsi="宋体" w:eastAsia="仿宋_GB2312" w:cs="仿宋_GB2312"/>
          <w:color w:val="000000"/>
          <w:kern w:val="0"/>
          <w:sz w:val="24"/>
          <w:szCs w:val="24"/>
          <w:lang w:val="en-US" w:eastAsia="zh-CN" w:bidi="ar"/>
        </w:rPr>
        <w:t xml:space="preserve">有关说明: </w:t>
      </w:r>
    </w:p>
    <w:p>
      <w:pPr>
        <w:keepNext w:val="0"/>
        <w:keepLines w:val="0"/>
        <w:widowControl/>
        <w:suppressLineNumbers w:val="0"/>
        <w:ind w:firstLine="480" w:firstLineChars="200"/>
        <w:jc w:val="left"/>
      </w:pPr>
      <w:r>
        <w:rPr>
          <w:rFonts w:hint="eastAsia" w:ascii="仿宋_GB2312" w:hAnsi="宋体" w:eastAsia="仿宋_GB2312" w:cs="仿宋_GB2312"/>
          <w:color w:val="000000"/>
          <w:kern w:val="0"/>
          <w:sz w:val="24"/>
          <w:szCs w:val="24"/>
          <w:lang w:val="en-US" w:eastAsia="zh-CN" w:bidi="ar"/>
        </w:rPr>
        <w:t xml:space="preserve">1．具体评议指标及分值根据年度重点工作进行调整，由市食药安办在年度食品安全工作评议方案及其细则中明确。 </w:t>
      </w:r>
    </w:p>
    <w:p>
      <w:pPr>
        <w:keepNext w:val="0"/>
        <w:keepLines w:val="0"/>
        <w:widowControl/>
        <w:suppressLineNumbers w:val="0"/>
        <w:ind w:firstLine="480" w:firstLineChars="200"/>
        <w:jc w:val="left"/>
      </w:pPr>
      <w:r>
        <w:rPr>
          <w:rFonts w:hint="eastAsia" w:ascii="仿宋_GB2312" w:hAnsi="宋体" w:eastAsia="仿宋_GB2312" w:cs="仿宋_GB2312"/>
          <w:color w:val="000000"/>
          <w:kern w:val="0"/>
          <w:sz w:val="24"/>
          <w:szCs w:val="24"/>
          <w:lang w:val="en-US" w:eastAsia="zh-CN" w:bidi="ar"/>
        </w:rPr>
        <w:t xml:space="preserve">2．即时性工作由市食药安办根据工作有无及难易程度情况确定具体分值，在当年评议方案及其细则中明确（相关成员单位拟纳入即时性工作评议事项，报市食药安办统筹）。 </w:t>
      </w:r>
    </w:p>
    <w:p>
      <w:pPr>
        <w:keepNext w:val="0"/>
        <w:keepLines w:val="0"/>
        <w:widowControl/>
        <w:suppressLineNumbers w:val="0"/>
        <w:ind w:firstLine="480" w:firstLineChars="200"/>
        <w:jc w:val="left"/>
      </w:pPr>
      <w:r>
        <w:rPr>
          <w:rFonts w:hint="eastAsia" w:ascii="仿宋_GB2312" w:hAnsi="宋体" w:eastAsia="仿宋_GB2312" w:cs="仿宋_GB2312"/>
          <w:color w:val="000000"/>
          <w:kern w:val="0"/>
          <w:sz w:val="24"/>
          <w:szCs w:val="24"/>
          <w:lang w:val="en-US" w:eastAsia="zh-CN" w:bidi="ar"/>
        </w:rPr>
        <w:t>3．减分项分值在当年评议方案及其细则中明确。</w:t>
      </w:r>
    </w:p>
    <w:p>
      <w:pPr>
        <w:pStyle w:val="2"/>
        <w:ind w:left="0" w:leftChars="0" w:firstLine="0" w:firstLineChars="0"/>
        <w:rPr>
          <w:rFonts w:hint="eastAsia" w:ascii="黑体" w:hAnsi="宋体" w:eastAsia="黑体" w:cs="黑体"/>
          <w:color w:val="000000"/>
          <w:sz w:val="31"/>
          <w:szCs w:val="31"/>
          <w:shd w:val="clear" w:color="auto" w:fill="FFFFFF"/>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ascii="黑体" w:hAnsi="宋体" w:eastAsia="黑体" w:cs="黑体"/>
          <w:color w:val="000000"/>
          <w:sz w:val="31"/>
          <w:szCs w:val="31"/>
          <w:shd w:val="clear" w:color="auto" w:fill="FFFFFF"/>
        </w:rPr>
      </w:pPr>
    </w:p>
    <w:p>
      <w:pPr>
        <w:widowControl/>
        <w:spacing w:line="340" w:lineRule="exact"/>
        <w:ind w:left="1124" w:hanging="840" w:hangingChars="400"/>
        <w:rPr>
          <w:rFonts w:hint="eastAsia" w:ascii="仿宋_GB2312" w:eastAsia="仿宋_GB2312"/>
          <w:b/>
          <w:color w:val="000000"/>
          <w:sz w:val="28"/>
          <w:szCs w:val="28"/>
        </w:rPr>
      </w:pPr>
      <w: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128905</wp:posOffset>
                </wp:positionV>
                <wp:extent cx="540004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400040" cy="635"/>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85pt;margin-top:10.15pt;height:0.05pt;width:425.2pt;z-index:251659264;mso-width-relative:page;mso-height-relative:page;" filled="f" stroked="t" coordsize="21600,21600" o:gfxdata="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jBYLM1gAAAAgBAAAPAAAAAAAAAAEAIAAAADgAAABkcnMvZG93bnJldi54bWxQSwECFAAU&#10;AAAACACHTuJAE3xlot0BAACcAwAADgAAAAAAAAABACAAAAA7AQAAZHJzL2Uyb0RvYy54bWxQSwUG&#10;AAAAAAYABgBZAQAAigUAAAAA&#10;">
                <v:fill on="f" focussize="0,0"/>
                <v:stroke weight="1.5pt" color="#000000" joinstyle="round"/>
                <v:imagedata o:title=""/>
                <o:lock v:ext="edit" aspectratio="f"/>
              </v:line>
            </w:pict>
          </mc:Fallback>
        </mc:AlternateContent>
      </w:r>
    </w:p>
    <w:p>
      <w:pPr>
        <w:widowControl/>
        <w:spacing w:line="340" w:lineRule="exact"/>
        <w:ind w:left="1124" w:hanging="1124" w:hangingChars="400"/>
        <w:rPr>
          <w:rFonts w:hint="eastAsia" w:ascii="仿宋_GB2312" w:eastAsia="仿宋_GB2312"/>
          <w:sz w:val="28"/>
          <w:szCs w:val="28"/>
        </w:rPr>
      </w:pPr>
      <w:r>
        <w:rPr>
          <w:rFonts w:hint="eastAsia" w:ascii="仿宋_GB2312" w:eastAsia="仿宋_GB2312"/>
          <w:b/>
          <w:color w:val="000000"/>
          <w:sz w:val="28"/>
          <w:szCs w:val="28"/>
        </w:rPr>
        <w:t>抄</w:t>
      </w:r>
      <w:r>
        <w:rPr>
          <w:rFonts w:ascii="仿宋_GB2312" w:eastAsia="仿宋_GB2312"/>
          <w:b/>
          <w:color w:val="000000"/>
          <w:sz w:val="28"/>
          <w:szCs w:val="28"/>
        </w:rPr>
        <w:t xml:space="preserve"> </w:t>
      </w:r>
      <w:r>
        <w:rPr>
          <w:rFonts w:hint="eastAsia" w:ascii="仿宋_GB2312" w:eastAsia="仿宋_GB2312"/>
          <w:b/>
          <w:color w:val="000000"/>
          <w:sz w:val="28"/>
          <w:szCs w:val="28"/>
        </w:rPr>
        <w:t>送：</w:t>
      </w:r>
      <w:r>
        <w:rPr>
          <w:rFonts w:hint="eastAsia" w:ascii="仿宋_GB2312" w:eastAsia="仿宋_GB2312"/>
          <w:color w:val="000000"/>
          <w:sz w:val="28"/>
          <w:szCs w:val="28"/>
        </w:rPr>
        <w:t>市委办公室，市人大常委会办公室，市政协办公室，</w:t>
      </w:r>
      <w:r>
        <w:rPr>
          <w:rFonts w:hint="eastAsia" w:ascii="仿宋_GB2312" w:eastAsia="仿宋_GB2312"/>
          <w:sz w:val="28"/>
          <w:szCs w:val="28"/>
        </w:rPr>
        <w:t>市监察委，</w:t>
      </w:r>
    </w:p>
    <w:p>
      <w:pPr>
        <w:widowControl/>
        <w:spacing w:line="340" w:lineRule="exact"/>
        <w:ind w:left="1121" w:leftChars="467" w:hanging="140" w:hangingChars="50"/>
        <w:rPr>
          <w:rFonts w:ascii="仿宋_GB2312" w:eastAsia="仿宋_GB2312"/>
          <w:color w:val="000000"/>
          <w:sz w:val="28"/>
          <w:szCs w:val="28"/>
        </w:rPr>
      </w:pPr>
      <w:r>
        <w:rPr>
          <w:rFonts w:hint="eastAsia" w:ascii="仿宋_GB2312" w:eastAsia="仿宋_GB2312"/>
          <w:color w:val="000000"/>
          <w:sz w:val="28"/>
          <w:szCs w:val="28"/>
        </w:rPr>
        <w:t>市法院，市检察院，市人武部。</w:t>
      </w:r>
    </w:p>
    <w:p>
      <w:pPr>
        <w:keepNext w:val="0"/>
        <w:keepLines w:val="0"/>
        <w:pageBreakBefore w:val="0"/>
        <w:kinsoku/>
        <w:wordWrap/>
        <w:overflowPunct/>
        <w:topLinePunct w:val="0"/>
        <w:autoSpaceDE/>
        <w:autoSpaceDN/>
        <w:bidi w:val="0"/>
        <w:adjustRightInd/>
        <w:snapToGrid/>
        <w:spacing w:line="600" w:lineRule="exact"/>
        <w:textAlignment w:val="auto"/>
        <w:rPr>
          <w:rFonts w:hint="default"/>
          <w:lang w:val="en-US" w:eastAsia="zh-CN"/>
        </w:rPr>
      </w:pPr>
      <w:r>
        <mc:AlternateContent>
          <mc:Choice Requires="wps">
            <w:drawing>
              <wp:anchor distT="0" distB="0" distL="114300" distR="114300" simplePos="0" relativeHeight="251666432" behindDoc="0" locked="0" layoutInCell="1" allowOverlap="1">
                <wp:simplePos x="0" y="0"/>
                <wp:positionH relativeFrom="column">
                  <wp:posOffset>10795</wp:posOffset>
                </wp:positionH>
                <wp:positionV relativeFrom="paragraph">
                  <wp:posOffset>413385</wp:posOffset>
                </wp:positionV>
                <wp:extent cx="5400040"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5400040" cy="635"/>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85pt;margin-top:32.55pt;height:0.05pt;width:425.2pt;z-index:251666432;mso-width-relative:page;mso-height-relative:page;" filled="f" stroked="t" coordsize="21600,21600" o:gfxdata="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uRk9JtMAAAAHAQAADwAAAAAAAAABACAAAAA4AAAAZHJzL2Rvd25yZXYueG1sUEsBAhQAFAAA&#10;AAgAh07iQLVB+/reAQAAnAMAAA4AAAAAAAAAAQAgAAAAOAEAAGRycy9lMm9Eb2MueG1sUEsFBgAA&#10;AAAGAAYAWQEAAIgFAAAAAA==&#10;">
                <v:fill on="f" focussize="0,0"/>
                <v:stroke weight="1.5pt" color="#000000" joinstyle="round"/>
                <v:imagedata o:title=""/>
                <o:lock v:ext="edit" aspectratio="f"/>
              </v:line>
            </w:pict>
          </mc:Fallback>
        </mc:AlternateContent>
      </w:r>
      <w:r>
        <w:rPr>
          <w:rFonts w:hint="eastAsia" w:ascii="仿宋_GB2312" w:eastAsia="仿宋_GB2312"/>
          <w:color w:val="000000"/>
          <w:sz w:val="28"/>
          <w:szCs w:val="28"/>
        </w:rPr>
        <w:t>滕州市人民政府办公室</w:t>
      </w:r>
      <w:r>
        <w:rPr>
          <w:rFonts w:ascii="仿宋_GB2312" w:eastAsia="仿宋_GB2312"/>
          <w:color w:val="000000"/>
          <w:sz w:val="28"/>
          <w:szCs w:val="28"/>
        </w:rPr>
        <w:t xml:space="preserve">                 </w:t>
      </w:r>
      <w:r>
        <w:rPr>
          <w:rFonts w:hint="eastAsia" w:ascii="仿宋_GB2312" w:eastAsia="仿宋_GB2312"/>
          <w:color w:val="000000"/>
          <w:sz w:val="28"/>
          <w:szCs w:val="28"/>
        </w:rPr>
        <w:t xml:space="preserve"> </w:t>
      </w:r>
      <w:r>
        <w:rPr>
          <w:rFonts w:ascii="仿宋_GB2312" w:eastAsia="仿宋_GB2312"/>
          <w:color w:val="000000"/>
          <w:sz w:val="28"/>
          <w:szCs w:val="28"/>
        </w:rPr>
        <w:t xml:space="preserve">   20</w:t>
      </w:r>
      <w:r>
        <w:rPr>
          <w:rFonts w:hint="eastAsia" w:ascii="仿宋_GB2312" w:eastAsia="仿宋_GB2312"/>
          <w:color w:val="000000"/>
          <w:sz w:val="28"/>
          <w:szCs w:val="28"/>
        </w:rPr>
        <w:t>2</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10</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14</w:t>
      </w:r>
      <w:r>
        <w:rPr>
          <w:rFonts w:hint="eastAsia" w:ascii="仿宋_GB2312" w:eastAsia="仿宋_GB2312"/>
          <w:color w:val="000000"/>
          <w:sz w:val="28"/>
          <w:szCs w:val="28"/>
        </w:rPr>
        <w:t>日印发</w:t>
      </w:r>
      <w:r>
        <mc:AlternateContent>
          <mc:Choice Requires="wps">
            <w:drawing>
              <wp:anchor distT="0" distB="0" distL="114300" distR="114300" simplePos="0" relativeHeight="251665408" behindDoc="0" locked="0" layoutInCell="1" allowOverlap="1">
                <wp:simplePos x="0" y="0"/>
                <wp:positionH relativeFrom="column">
                  <wp:posOffset>10795</wp:posOffset>
                </wp:positionH>
                <wp:positionV relativeFrom="paragraph">
                  <wp:posOffset>32385</wp:posOffset>
                </wp:positionV>
                <wp:extent cx="5400040"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400040" cy="635"/>
                        </a:xfrm>
                        <a:prstGeom prst="line">
                          <a:avLst/>
                        </a:prstGeom>
                        <a:ln w="3175" cap="flat" cmpd="sng">
                          <a:solidFill>
                            <a:schemeClr val="tx1"/>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85pt;margin-top:2.55pt;height:0.05pt;width:425.2pt;z-index:251665408;mso-width-relative:page;mso-height-relative:page;" filled="f" stroked="t" coordsize="21600,21600" o:gfxdata="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HdqqbfUAAAABQEAAA8AAAAAAAAAAQAgAAAAOAAAAGRycy9kb3ducmV2LnhtbFBLAQIUABQA&#10;AAAIAIdO4kDk9XTG3gEAAJsDAAAOAAAAAAAAAAEAIAAAADkBAABkcnMvZTJvRG9jLnhtbFBLBQYA&#10;AAAABgAGAFkBAACJBQAAAAA=&#10;">
                <v:fill on="f" focussize="0,0"/>
                <v:stroke weight="0.25pt" color="#000000 [3213]" joinstyle="round"/>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1080135</wp:posOffset>
                </wp:positionH>
                <wp:positionV relativeFrom="paragraph">
                  <wp:posOffset>2398395</wp:posOffset>
                </wp:positionV>
                <wp:extent cx="5400040" cy="7620"/>
                <wp:effectExtent l="0" t="0" r="0" b="0"/>
                <wp:wrapNone/>
                <wp:docPr id="6" name="直接连接符 6"/>
                <wp:cNvGraphicFramePr/>
                <a:graphic xmlns:a="http://schemas.openxmlformats.org/drawingml/2006/main">
                  <a:graphicData uri="http://schemas.microsoft.com/office/word/2010/wordprocessingShape">
                    <wps:wsp>
                      <wps:cNvCnPr/>
                      <wps:spPr>
                        <a:xfrm>
                          <a:off x="0" y="0"/>
                          <a:ext cx="5400040" cy="762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85.05pt;margin-top:188.85pt;height:0.6pt;width:425.2pt;z-index:251664384;mso-width-relative:page;mso-height-relative:page;" filled="f" stroked="t" coordsize="21600,21600" o:gfxdata="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iQhV/2AAAAAwBAAAPAAAAAAAAAAEAIAAAADgAAABkcnMvZG93bnJldi54bWxQ&#10;SwECFAAUAAAACACHTuJA34DrwuEBAACdAwAADgAAAAAAAAABACAAAAA9AQAAZHJzL2Uyb0RvYy54&#10;bWxQSwUGAAAAAAYABgBZAQAAkAU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1209040</wp:posOffset>
                </wp:positionH>
                <wp:positionV relativeFrom="paragraph">
                  <wp:posOffset>2231390</wp:posOffset>
                </wp:positionV>
                <wp:extent cx="54000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95.2pt;margin-top:175.7pt;height:0pt;width:425.2pt;z-index:251662336;mso-width-relative:page;mso-height-relative:page;" filled="f" stroked="t" coordsize="21600,21600" o:gfxdata="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U2T1l1wAAAAwBAAAPAAAAAAAAAAEAIAAAADgAAABkcnMvZG93bnJldi54bWxQSwECFAAU&#10;AAAACACHTuJAuDUJC9wBAACZAwAADgAAAAAAAAABACAAAAA8AQAAZHJzL2Uyb0RvYy54bWxQSwUG&#10;AAAAAAYABgBZAQAAi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1056640</wp:posOffset>
                </wp:positionH>
                <wp:positionV relativeFrom="paragraph">
                  <wp:posOffset>2078990</wp:posOffset>
                </wp:positionV>
                <wp:extent cx="54000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83.2pt;margin-top:163.7pt;height:0pt;width:425.2pt;z-index:251661312;mso-width-relative:page;mso-height-relative:page;" filled="f" stroked="t" coordsize="21600,21600" o:gfxdata="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ZXcoZNcAAAAMAQAADwAAAAAAAAABACAAAAA4AAAAZHJzL2Rvd25yZXYueG1sUEsBAhQA&#10;FAAAAAgAh07iQG4lBlHdAQAAmQMAAA4AAAAAAAAAAQAgAAAAPAEAAGRycy9lMm9Eb2MueG1sUEsF&#10;BgAAAAAGAAYAWQEAAIs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1361440</wp:posOffset>
                </wp:positionH>
                <wp:positionV relativeFrom="paragraph">
                  <wp:posOffset>2383790</wp:posOffset>
                </wp:positionV>
                <wp:extent cx="54000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07.2pt;margin-top:187.7pt;height:0pt;width:425.2pt;z-index:251663360;mso-width-relative:page;mso-height-relative:page;" filled="f" stroked="t" coordsize="21600,21600" o:gfxdata="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Z28UhNgAAAAMAQAADwAAAAAAAAABACAAAAA4AAAAZHJzL2Rvd25yZXYueG1sUEsBAhQA&#10;FAAAAAgAh07iQL/rO9rcAQAAmQMAAA4AAAAAAAAAAQAgAAAAPQEAAGRycy9lMm9Eb2MueG1sUEsF&#10;BgAAAAAGAAYAWQEAAIsFAAAAAA==&#10;">
                <v:fill on="f" focussize="0,0"/>
                <v:stroke color="#000000" joinstyle="round"/>
                <v:imagedata o:title=""/>
                <o:lock v:ext="edit" aspectratio="f"/>
              </v:line>
            </w:pict>
          </mc:Fallback>
        </mc:AlternateContent>
      </w:r>
    </w:p>
    <w:sectPr>
      <w:footerReference r:id="rId3" w:type="default"/>
      <w:pgSz w:w="11906" w:h="16838"/>
      <w:pgMar w:top="1701" w:right="1701" w:bottom="1701" w:left="1701" w:header="850" w:footer="1417"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altName w:val="汉仪中宋简"/>
    <w:panose1 w:val="02010600040101010101"/>
    <w:charset w:val="00"/>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29285"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629285" cy="1828800"/>
                      </a:xfrm>
                      <a:prstGeom prst="rect">
                        <a:avLst/>
                      </a:prstGeom>
                      <a:noFill/>
                      <a:ln>
                        <a:noFill/>
                      </a:ln>
                    </wps:spPr>
                    <wps:txbx>
                      <w:txbxContent>
                        <w:p>
                          <w:pPr>
                            <w:pStyle w:val="6"/>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p>
                      </w:txbxContent>
                    </wps:txbx>
                    <wps:bodyPr vert="horz" wrap="square" lIns="0" tIns="0" rIns="0" bIns="0" anchor="t" anchorCtr="false" upright="false">
                      <a:spAutoFit/>
                    </wps:bodyPr>
                  </wps:wsp>
                </a:graphicData>
              </a:graphic>
            </wp:anchor>
          </w:drawing>
        </mc:Choice>
        <mc:Fallback>
          <w:pict>
            <v:shape id="_x0000_s1026" o:spid="_x0000_s1026" o:spt="202" type="#_x0000_t202" style="position:absolute;left:0pt;margin-top:0pt;height:144pt;width:49.55pt;mso-position-horizontal:outside;mso-position-horizontal-relative:margin;z-index:251660288;mso-width-relative:page;mso-height-relative:page;" filled="f" stroked="f" coordsize="21600,21600" o:gfxdata="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YLpe00gAAAAQBAAAP&#10;AAAAAAAAAAEAIAAAADgAAABkcnMvZG93bnJldi54bWxQSwECFAAUAAAACACHTuJAv6kF088BAAB8&#10;AwAADgAAAAAAAAABACAAAAA3AQAAZHJzL2Uyb0RvYy54bWxQSwUGAAAAAAYABgBZAQAAeAUAAAAA&#10;">
              <v:fill on="f" focussize="0,0"/>
              <v:stroke on="f"/>
              <v:imagedata o:title=""/>
              <o:lock v:ext="edit" aspectratio="f"/>
              <v:textbox inset="0mm,0mm,0mm,0mm" style="mso-fit-shape-to-text:t;">
                <w:txbxContent>
                  <w:p>
                    <w:pPr>
                      <w:pStyle w:val="6"/>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true"/>
  <w:drawingGridHorizontalOrigin w:val="0"/>
  <w:drawingGridVerticalOrigin w:val="0"/>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hZTM1MWZmM2UyZmQzM2Y3MDk3NWMzYTA2NWM5YjcifQ=="/>
  </w:docVars>
  <w:rsids>
    <w:rsidRoot w:val="00000000"/>
    <w:rsid w:val="01AD7F2B"/>
    <w:rsid w:val="08C66AED"/>
    <w:rsid w:val="0CDA7707"/>
    <w:rsid w:val="10D8245A"/>
    <w:rsid w:val="11D34725"/>
    <w:rsid w:val="11D7652A"/>
    <w:rsid w:val="123B34FE"/>
    <w:rsid w:val="153C0833"/>
    <w:rsid w:val="18B00019"/>
    <w:rsid w:val="1CAE1AE5"/>
    <w:rsid w:val="28CF55E8"/>
    <w:rsid w:val="2A541F32"/>
    <w:rsid w:val="2C083CA0"/>
    <w:rsid w:val="2FE65840"/>
    <w:rsid w:val="322C7A47"/>
    <w:rsid w:val="33CD6501"/>
    <w:rsid w:val="36485E25"/>
    <w:rsid w:val="370914F0"/>
    <w:rsid w:val="3FCB1E65"/>
    <w:rsid w:val="3FD106BA"/>
    <w:rsid w:val="42983BC3"/>
    <w:rsid w:val="44EE2122"/>
    <w:rsid w:val="48D66264"/>
    <w:rsid w:val="49FC50C7"/>
    <w:rsid w:val="4FE15C83"/>
    <w:rsid w:val="56932BFC"/>
    <w:rsid w:val="57625187"/>
    <w:rsid w:val="5CAC7619"/>
    <w:rsid w:val="5FC56EA5"/>
    <w:rsid w:val="5FCB1AFA"/>
    <w:rsid w:val="601F64AF"/>
    <w:rsid w:val="62E639C3"/>
    <w:rsid w:val="631C7E82"/>
    <w:rsid w:val="64D82A9B"/>
    <w:rsid w:val="67E43181"/>
    <w:rsid w:val="682D20F9"/>
    <w:rsid w:val="6B73CFFF"/>
    <w:rsid w:val="6BFCE9B6"/>
    <w:rsid w:val="6FEF6529"/>
    <w:rsid w:val="71C11019"/>
    <w:rsid w:val="73E346C9"/>
    <w:rsid w:val="740022CC"/>
    <w:rsid w:val="7A3E777C"/>
    <w:rsid w:val="7AFF2A52"/>
    <w:rsid w:val="7CFED3F9"/>
    <w:rsid w:val="7DCF72F0"/>
    <w:rsid w:val="AFB83FFC"/>
    <w:rsid w:val="BF96E825"/>
    <w:rsid w:val="CDDFA018"/>
    <w:rsid w:val="DEFFB080"/>
    <w:rsid w:val="FBDFE0FD"/>
    <w:rsid w:val="FFFFE2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2">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rPr>
      <w:szCs w:val="21"/>
    </w:rPr>
  </w:style>
  <w:style w:type="paragraph" w:styleId="4">
    <w:name w:val="caption"/>
    <w:basedOn w:val="1"/>
    <w:next w:val="1"/>
    <w:qFormat/>
    <w:uiPriority w:val="0"/>
    <w:pPr>
      <w:widowControl w:val="0"/>
      <w:suppressLineNumbers/>
      <w:suppressAutoHyphens/>
      <w:spacing w:before="120" w:after="120"/>
    </w:pPr>
    <w:rPr>
      <w:i/>
      <w:iCs/>
      <w:sz w:val="24"/>
      <w:szCs w:val="24"/>
    </w:rPr>
  </w:style>
  <w:style w:type="paragraph" w:styleId="5">
    <w:name w:val="Body Text"/>
    <w:basedOn w:val="1"/>
    <w:qFormat/>
    <w:uiPriority w:val="0"/>
    <w:pPr>
      <w:spacing w:before="0" w:after="140" w:line="276" w:lineRule="auto"/>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w:basedOn w:val="5"/>
    <w:qFormat/>
    <w:uiPriority w:val="0"/>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默认段落字体1"/>
    <w:qFormat/>
    <w:uiPriority w:val="0"/>
  </w:style>
  <w:style w:type="paragraph" w:customStyle="1" w:styleId="16">
    <w:name w:val="Heading"/>
    <w:basedOn w:val="1"/>
    <w:next w:val="5"/>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7">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3708</Words>
  <Characters>3728</Characters>
  <TotalTime>0</TotalTime>
  <ScaleCrop>false</ScaleCrop>
  <LinksUpToDate>false</LinksUpToDate>
  <CharactersWithSpaces>3838</CharactersWithSpaces>
  <Application>WPS Office_11.8.2.10337_F1E327BC-269C-435d-A152-05C5408002CA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2018-11-30T17:47:00Z</dcterms:created>
  <dc:creator>user</dc:creator>
  <cp:lastModifiedBy>user</cp:lastModifiedBy>
  <cp:lastPrinted>2023-10-15T03:49:00Z</cp:lastPrinted>
  <dcterms:modified xsi:type="dcterms:W3CDTF">2023-11-02T09:01:02Z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B76AE577B0EF4857A8817FDB59029FF7</vt:lpwstr>
  </property>
</Properties>
</file>